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30"/>
      </w:tblGrid>
      <w:tr w:rsidR="005B6D8A" w:rsidRPr="008A6A28" w14:paraId="02D5F537" w14:textId="77777777" w:rsidTr="005B6D8A">
        <w:trPr>
          <w:trHeight w:val="150"/>
        </w:trPr>
        <w:tc>
          <w:tcPr>
            <w:tcW w:w="16930" w:type="dxa"/>
          </w:tcPr>
          <w:p w14:paraId="0D4D8087" w14:textId="77777777" w:rsidR="005B6D8A" w:rsidRPr="008A6A28" w:rsidRDefault="005B6D8A" w:rsidP="005B6D8A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8A6A28">
              <w:rPr>
                <w:b/>
                <w:bCs/>
                <w:sz w:val="32"/>
                <w:szCs w:val="32"/>
              </w:rPr>
              <w:t>Forecast Accuracy</w:t>
            </w:r>
          </w:p>
          <w:p w14:paraId="71486EF7" w14:textId="77777777" w:rsidR="005F699A" w:rsidRPr="008A6A28" w:rsidRDefault="005F699A" w:rsidP="005B6D8A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652CFFA4" w14:textId="77777777" w:rsidR="005F699A" w:rsidRPr="008A6A28" w:rsidRDefault="005F699A" w:rsidP="005F699A">
      <w:pPr>
        <w:pStyle w:val="Default"/>
        <w:rPr>
          <w:b/>
        </w:rPr>
      </w:pPr>
      <w:r w:rsidRPr="008A6A28">
        <w:rPr>
          <w:b/>
        </w:rPr>
        <w:t>Forecasts Used:</w:t>
      </w:r>
    </w:p>
    <w:p w14:paraId="2B8304D8" w14:textId="73BE2CD7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 xml:space="preserve">All forecast accuracy measurements shown are taken as a comparison between the forecast </w:t>
      </w:r>
      <w:r w:rsidR="004E1CA2">
        <w:rPr>
          <w:sz w:val="20"/>
          <w:szCs w:val="20"/>
        </w:rPr>
        <w:t xml:space="preserve">total </w:t>
      </w:r>
      <w:r w:rsidRPr="00382ABB">
        <w:rPr>
          <w:sz w:val="20"/>
          <w:szCs w:val="20"/>
        </w:rPr>
        <w:t>number and the actual number on roll at the Spring</w:t>
      </w:r>
      <w:r w:rsidR="004E1CA2">
        <w:rPr>
          <w:sz w:val="20"/>
          <w:szCs w:val="20"/>
        </w:rPr>
        <w:t xml:space="preserve"> term</w:t>
      </w:r>
      <w:r w:rsidRPr="00382ABB">
        <w:rPr>
          <w:sz w:val="20"/>
          <w:szCs w:val="20"/>
        </w:rPr>
        <w:t xml:space="preserve"> census point for the 202</w:t>
      </w:r>
      <w:r w:rsidR="00FA0368">
        <w:rPr>
          <w:sz w:val="20"/>
          <w:szCs w:val="20"/>
        </w:rPr>
        <w:t>4</w:t>
      </w:r>
      <w:r w:rsidRPr="00382ABB">
        <w:rPr>
          <w:sz w:val="20"/>
          <w:szCs w:val="20"/>
        </w:rPr>
        <w:t>/2</w:t>
      </w:r>
      <w:r w:rsidR="00FA0368">
        <w:rPr>
          <w:sz w:val="20"/>
          <w:szCs w:val="20"/>
        </w:rPr>
        <w:t>5</w:t>
      </w:r>
      <w:r w:rsidRPr="00382ABB">
        <w:rPr>
          <w:sz w:val="20"/>
          <w:szCs w:val="20"/>
        </w:rPr>
        <w:t xml:space="preserve"> academic year (January 202</w:t>
      </w:r>
      <w:r w:rsidR="00FA0368">
        <w:rPr>
          <w:sz w:val="20"/>
          <w:szCs w:val="20"/>
        </w:rPr>
        <w:t>5</w:t>
      </w:r>
      <w:r w:rsidRPr="00382ABB">
        <w:rPr>
          <w:sz w:val="20"/>
          <w:szCs w:val="20"/>
        </w:rPr>
        <w:t xml:space="preserve">). </w:t>
      </w:r>
      <w:r w:rsidR="00BE4B28">
        <w:rPr>
          <w:sz w:val="20"/>
          <w:szCs w:val="20"/>
        </w:rPr>
        <w:t xml:space="preserve"> </w:t>
      </w:r>
      <w:r w:rsidRPr="00382ABB">
        <w:rPr>
          <w:sz w:val="20"/>
          <w:szCs w:val="20"/>
        </w:rPr>
        <w:t>1 year ahead refers to the forecast produced during the 20</w:t>
      </w:r>
      <w:r w:rsidR="00503054">
        <w:rPr>
          <w:sz w:val="20"/>
          <w:szCs w:val="20"/>
        </w:rPr>
        <w:t>2</w:t>
      </w:r>
      <w:r w:rsidR="00FA0368">
        <w:rPr>
          <w:sz w:val="20"/>
          <w:szCs w:val="20"/>
        </w:rPr>
        <w:t>3</w:t>
      </w:r>
      <w:r w:rsidRPr="00382ABB">
        <w:rPr>
          <w:sz w:val="20"/>
          <w:szCs w:val="20"/>
        </w:rPr>
        <w:t>/2</w:t>
      </w:r>
      <w:r w:rsidR="00FA0368">
        <w:rPr>
          <w:sz w:val="20"/>
          <w:szCs w:val="20"/>
        </w:rPr>
        <w:t>4</w:t>
      </w:r>
      <w:r w:rsidRPr="00382ABB">
        <w:rPr>
          <w:sz w:val="20"/>
          <w:szCs w:val="20"/>
        </w:rPr>
        <w:t xml:space="preserve"> academic year; 2 year ahead refers to the forecast produced during the 20</w:t>
      </w:r>
      <w:r w:rsidR="003A1A21">
        <w:rPr>
          <w:sz w:val="20"/>
          <w:szCs w:val="20"/>
        </w:rPr>
        <w:t>2</w:t>
      </w:r>
      <w:r w:rsidR="00FA0368">
        <w:rPr>
          <w:sz w:val="20"/>
          <w:szCs w:val="20"/>
        </w:rPr>
        <w:t>2</w:t>
      </w:r>
      <w:r w:rsidRPr="00382ABB">
        <w:rPr>
          <w:sz w:val="20"/>
          <w:szCs w:val="20"/>
        </w:rPr>
        <w:t>/</w:t>
      </w:r>
      <w:r w:rsidR="00503054">
        <w:rPr>
          <w:sz w:val="20"/>
          <w:szCs w:val="20"/>
        </w:rPr>
        <w:t>2</w:t>
      </w:r>
      <w:r w:rsidR="00FA0368">
        <w:rPr>
          <w:sz w:val="20"/>
          <w:szCs w:val="20"/>
        </w:rPr>
        <w:t>3</w:t>
      </w:r>
      <w:r w:rsidRPr="00382ABB">
        <w:rPr>
          <w:sz w:val="20"/>
          <w:szCs w:val="20"/>
        </w:rPr>
        <w:t xml:space="preserve"> academic year and 3 year ahead refers to the forecast produced during the 20</w:t>
      </w:r>
      <w:r w:rsidR="003A1A21">
        <w:rPr>
          <w:sz w:val="20"/>
          <w:szCs w:val="20"/>
        </w:rPr>
        <w:t>2</w:t>
      </w:r>
      <w:r w:rsidR="00FA0368">
        <w:rPr>
          <w:sz w:val="20"/>
          <w:szCs w:val="20"/>
        </w:rPr>
        <w:t>1</w:t>
      </w:r>
      <w:r w:rsidRPr="00382ABB">
        <w:rPr>
          <w:sz w:val="20"/>
          <w:szCs w:val="20"/>
        </w:rPr>
        <w:t>/</w:t>
      </w:r>
      <w:r w:rsidR="003A1A21">
        <w:rPr>
          <w:sz w:val="20"/>
          <w:szCs w:val="20"/>
        </w:rPr>
        <w:t>2</w:t>
      </w:r>
      <w:r w:rsidR="00FA0368">
        <w:rPr>
          <w:sz w:val="20"/>
          <w:szCs w:val="20"/>
        </w:rPr>
        <w:t>2</w:t>
      </w:r>
      <w:r w:rsidRPr="00382ABB">
        <w:rPr>
          <w:sz w:val="20"/>
          <w:szCs w:val="20"/>
        </w:rPr>
        <w:t xml:space="preserve"> academic year.</w:t>
      </w:r>
    </w:p>
    <w:p w14:paraId="04C10543" w14:textId="77777777" w:rsidR="00845164" w:rsidRDefault="00845164" w:rsidP="005B6D8A">
      <w:pPr>
        <w:pStyle w:val="Default"/>
        <w:rPr>
          <w:b/>
        </w:rPr>
      </w:pPr>
    </w:p>
    <w:p w14:paraId="07D1FBDF" w14:textId="0F929093" w:rsidR="005B6D8A" w:rsidRPr="008A6A28" w:rsidRDefault="00332E9C" w:rsidP="005B6D8A">
      <w:pPr>
        <w:pStyle w:val="Default"/>
        <w:rPr>
          <w:b/>
        </w:rPr>
      </w:pPr>
      <w:r w:rsidRPr="008A6A28">
        <w:rPr>
          <w:b/>
        </w:rPr>
        <w:t xml:space="preserve">Average </w:t>
      </w:r>
      <w:r w:rsidR="005B6D8A" w:rsidRPr="008A6A28">
        <w:rPr>
          <w:b/>
        </w:rPr>
        <w:t>Accuracy Error:</w:t>
      </w:r>
    </w:p>
    <w:p w14:paraId="351AFA2A" w14:textId="261D3FDC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>This column compares the overall actual number on roll for an Essex planning group against the total forecast</w:t>
      </w:r>
      <w:r w:rsidR="00BE4B28" w:rsidRPr="00382ABB">
        <w:rPr>
          <w:sz w:val="20"/>
          <w:szCs w:val="20"/>
        </w:rPr>
        <w:t xml:space="preserve">.  </w:t>
      </w:r>
      <w:r w:rsidRPr="00382ABB">
        <w:rPr>
          <w:sz w:val="20"/>
          <w:szCs w:val="20"/>
        </w:rPr>
        <w:t xml:space="preserve">A negative figure would mean the forecasts were less than the actual number of pupils on roll. </w:t>
      </w:r>
      <w:r w:rsidR="004E1CA2">
        <w:rPr>
          <w:sz w:val="20"/>
          <w:szCs w:val="20"/>
        </w:rPr>
        <w:t xml:space="preserve"> </w:t>
      </w:r>
      <w:r w:rsidRPr="00382ABB">
        <w:rPr>
          <w:sz w:val="20"/>
          <w:szCs w:val="20"/>
        </w:rPr>
        <w:t>However, most of the average accuracy errors here are positive i.e. showing the average percentage by which forecasts over-estimated the actual number in a planning group.</w:t>
      </w:r>
    </w:p>
    <w:p w14:paraId="456164F9" w14:textId="77777777" w:rsidR="005B6D8A" w:rsidRPr="008A6A28" w:rsidRDefault="005B6D8A" w:rsidP="005B6D8A">
      <w:pPr>
        <w:pStyle w:val="Default"/>
        <w:rPr>
          <w:sz w:val="20"/>
          <w:szCs w:val="20"/>
        </w:rPr>
      </w:pPr>
    </w:p>
    <w:p w14:paraId="446B9107" w14:textId="77777777" w:rsidR="005B6D8A" w:rsidRPr="008A6A28" w:rsidRDefault="005B6D8A" w:rsidP="005B6D8A">
      <w:pPr>
        <w:pStyle w:val="Default"/>
        <w:rPr>
          <w:b/>
          <w:sz w:val="20"/>
          <w:szCs w:val="20"/>
        </w:rPr>
      </w:pPr>
      <w:r w:rsidRPr="008A6A28">
        <w:rPr>
          <w:b/>
        </w:rPr>
        <w:t>Average Absolute Accuracy Error:</w:t>
      </w:r>
    </w:p>
    <w:p w14:paraId="4F9A7838" w14:textId="6142D067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>By using the Average Absolute Error method under and over forecasts are not offset but instead their absolute values are averaged (i.e. ignoring whether under or over)</w:t>
      </w:r>
      <w:r w:rsidR="004E1CA2">
        <w:rPr>
          <w:sz w:val="20"/>
          <w:szCs w:val="20"/>
        </w:rPr>
        <w:t xml:space="preserve"> </w:t>
      </w:r>
      <w:r w:rsidRPr="00382ABB">
        <w:rPr>
          <w:sz w:val="20"/>
          <w:szCs w:val="20"/>
        </w:rPr>
        <w:t xml:space="preserve">. </w:t>
      </w:r>
      <w:r w:rsidR="00732136">
        <w:rPr>
          <w:sz w:val="20"/>
          <w:szCs w:val="20"/>
        </w:rPr>
        <w:t>For</w:t>
      </w:r>
      <w:r w:rsidRPr="00382ABB">
        <w:rPr>
          <w:sz w:val="20"/>
          <w:szCs w:val="20"/>
        </w:rPr>
        <w:t xml:space="preserve"> example, </w:t>
      </w:r>
      <w:r w:rsidR="00732136">
        <w:rPr>
          <w:sz w:val="20"/>
          <w:szCs w:val="20"/>
        </w:rPr>
        <w:t>an over forecast of</w:t>
      </w:r>
      <w:r w:rsidRPr="00382ABB">
        <w:rPr>
          <w:sz w:val="20"/>
          <w:szCs w:val="20"/>
        </w:rPr>
        <w:t xml:space="preserve"> 10% and </w:t>
      </w:r>
      <w:r w:rsidR="00732136">
        <w:rPr>
          <w:sz w:val="20"/>
          <w:szCs w:val="20"/>
        </w:rPr>
        <w:t xml:space="preserve">an under forecast of </w:t>
      </w:r>
      <w:r w:rsidRPr="00382ABB">
        <w:rPr>
          <w:sz w:val="20"/>
          <w:szCs w:val="20"/>
        </w:rPr>
        <w:t xml:space="preserve">6% figures would produce an Average Absolute </w:t>
      </w:r>
      <w:r w:rsidR="00732136">
        <w:rPr>
          <w:sz w:val="20"/>
          <w:szCs w:val="20"/>
        </w:rPr>
        <w:t xml:space="preserve">Accuracy </w:t>
      </w:r>
      <w:r w:rsidRPr="00382ABB">
        <w:rPr>
          <w:sz w:val="20"/>
          <w:szCs w:val="20"/>
        </w:rPr>
        <w:t>Error of 8%.</w:t>
      </w:r>
    </w:p>
    <w:p w14:paraId="1099D560" w14:textId="77777777" w:rsidR="00732136" w:rsidRDefault="00732136" w:rsidP="005F699A">
      <w:pPr>
        <w:pStyle w:val="Default"/>
        <w:rPr>
          <w:b/>
        </w:rPr>
      </w:pPr>
    </w:p>
    <w:p w14:paraId="51F03B36" w14:textId="6C122EC9" w:rsidR="005B6D8A" w:rsidRPr="008A6A28" w:rsidRDefault="005F699A" w:rsidP="005F699A">
      <w:pPr>
        <w:pStyle w:val="Default"/>
        <w:rPr>
          <w:b/>
        </w:rPr>
      </w:pPr>
      <w:r w:rsidRPr="008A6A28">
        <w:rPr>
          <w:b/>
        </w:rPr>
        <w:t>Planning Groups accurate to within a given %:</w:t>
      </w:r>
    </w:p>
    <w:p w14:paraId="729D016A" w14:textId="77777777" w:rsidR="00382ABB" w:rsidRPr="00382ABB" w:rsidRDefault="00382ABB" w:rsidP="00382ABB">
      <w:pPr>
        <w:spacing w:after="0"/>
        <w:rPr>
          <w:rFonts w:ascii="Arial" w:hAnsi="Arial" w:cs="Arial"/>
          <w:sz w:val="20"/>
          <w:szCs w:val="20"/>
        </w:rPr>
      </w:pPr>
      <w:r w:rsidRPr="00382ABB">
        <w:rPr>
          <w:rFonts w:ascii="Arial" w:hAnsi="Arial" w:cs="Arial"/>
          <w:sz w:val="20"/>
          <w:szCs w:val="20"/>
        </w:rPr>
        <w:t>These indicators show the percentage of planning group forecasts that are accurate within an Average Absolute Error value of 3%, 5% and 10% respectively.</w:t>
      </w:r>
    </w:p>
    <w:p w14:paraId="447C30DD" w14:textId="77777777" w:rsidR="00753EFB" w:rsidRDefault="00753EFB" w:rsidP="0063126F">
      <w:pPr>
        <w:spacing w:after="0"/>
        <w:rPr>
          <w:rFonts w:ascii="Arial" w:hAnsi="Arial" w:cs="Arial"/>
          <w:b/>
        </w:rPr>
      </w:pPr>
    </w:p>
    <w:p w14:paraId="6B6B71DD" w14:textId="77777777" w:rsidR="005F699A" w:rsidRDefault="00753EFB" w:rsidP="006312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Essex </w:t>
      </w:r>
      <w:r w:rsidR="00332E9C" w:rsidRPr="008A6A28">
        <w:rPr>
          <w:rFonts w:ascii="Arial" w:hAnsi="Arial" w:cs="Arial"/>
          <w:b/>
        </w:rPr>
        <w:t>P</w:t>
      </w:r>
      <w:r w:rsidR="002B3D45">
        <w:rPr>
          <w:rFonts w:ascii="Arial" w:hAnsi="Arial" w:cs="Arial"/>
          <w:b/>
        </w:rPr>
        <w:t>rimary Planning Group</w:t>
      </w:r>
      <w:r>
        <w:rPr>
          <w:rFonts w:ascii="Arial" w:hAnsi="Arial" w:cs="Arial"/>
          <w:b/>
        </w:rPr>
        <w:t>s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1700"/>
        <w:gridCol w:w="1700"/>
        <w:gridCol w:w="1700"/>
      </w:tblGrid>
      <w:tr w:rsidR="002B3D45" w:rsidRPr="002B3D45" w14:paraId="0713C774" w14:textId="77777777" w:rsidTr="00382ABB">
        <w:trPr>
          <w:trHeight w:val="330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14:paraId="48AAB3C9" w14:textId="136F61AC" w:rsidR="002B3D45" w:rsidRPr="00382ABB" w:rsidRDefault="00382ABB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Accuracy Measure of Primary Forecasts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7BFFE95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1-year ahead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B968ECA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2-year ahead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9F0D477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3-year ahead</w:t>
            </w:r>
          </w:p>
        </w:tc>
      </w:tr>
      <w:tr w:rsidR="00382ABB" w:rsidRPr="00382ABB" w14:paraId="16FD0B39" w14:textId="77777777" w:rsidTr="00677A49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1CD76809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Average accuracy error (%)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0EBEF245" w14:textId="51FA3995" w:rsidR="00382ABB" w:rsidRPr="00382ABB" w:rsidRDefault="008C3679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-0.03%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4E61021B" w14:textId="7DA16205" w:rsidR="00382ABB" w:rsidRPr="00382ABB" w:rsidRDefault="002F6F65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1.91%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A9A92C2" w14:textId="3073DB4B" w:rsidR="00382ABB" w:rsidRPr="00382ABB" w:rsidRDefault="006768A3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1.32%</w:t>
            </w:r>
          </w:p>
        </w:tc>
      </w:tr>
      <w:tr w:rsidR="00382ABB" w:rsidRPr="00382ABB" w14:paraId="5B3213A0" w14:textId="77777777" w:rsidTr="00677A49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04A44F2B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Absolute average accuracy error (%)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2E7DE6B6" w14:textId="2480BC22" w:rsidR="00382ABB" w:rsidRPr="00382ABB" w:rsidRDefault="004F3512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1.52%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2F088F89" w14:textId="78702DEE" w:rsidR="00382ABB" w:rsidRPr="00382ABB" w:rsidRDefault="00880381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3.60%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677562E" w14:textId="2CCCDF59" w:rsidR="00382ABB" w:rsidRPr="00382ABB" w:rsidRDefault="006768A3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4.93%</w:t>
            </w:r>
          </w:p>
        </w:tc>
      </w:tr>
      <w:tr w:rsidR="00382ABB" w:rsidRPr="00382ABB" w14:paraId="1699A618" w14:textId="77777777" w:rsidTr="00677A49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2B27D723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+/- 3%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327536C7" w14:textId="2AB7EA52" w:rsidR="00382ABB" w:rsidRPr="00382ABB" w:rsidRDefault="004F3512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87.67%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55C33AB2" w14:textId="0F5239EA" w:rsidR="00382ABB" w:rsidRPr="00382ABB" w:rsidRDefault="00880381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56.16%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3DAFA6AA" w14:textId="44D592AE" w:rsidR="00382ABB" w:rsidRPr="00382ABB" w:rsidRDefault="006768A3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39.73%</w:t>
            </w:r>
          </w:p>
        </w:tc>
      </w:tr>
      <w:tr w:rsidR="00382ABB" w:rsidRPr="00382ABB" w14:paraId="43389A1C" w14:textId="77777777" w:rsidTr="00677A49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1F85B47F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+/- 5%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676A3471" w14:textId="4CFB0416" w:rsidR="00382ABB" w:rsidRPr="00382ABB" w:rsidRDefault="004F3512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94.52%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06AB7C0" w14:textId="3F52E2E0" w:rsidR="00382ABB" w:rsidRPr="00382ABB" w:rsidRDefault="00880381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76.71%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491845BF" w14:textId="48313F27" w:rsidR="00382ABB" w:rsidRPr="00382ABB" w:rsidRDefault="006768A3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65.75%</w:t>
            </w:r>
          </w:p>
        </w:tc>
      </w:tr>
      <w:tr w:rsidR="00382ABB" w:rsidRPr="00382ABB" w14:paraId="2E9B36A1" w14:textId="77777777" w:rsidTr="00677A49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6D7D0953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+/- 10%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0DB973B" w14:textId="1A6A10F4" w:rsidR="00382ABB" w:rsidRPr="00382ABB" w:rsidRDefault="004F3512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3345A9CC" w14:textId="411214AC" w:rsidR="00382ABB" w:rsidRPr="00382ABB" w:rsidRDefault="003B527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90.41%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128FB83A" w14:textId="70CC3729" w:rsidR="00382ABB" w:rsidRPr="00382ABB" w:rsidRDefault="006768A3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90.41%</w:t>
            </w:r>
          </w:p>
        </w:tc>
      </w:tr>
    </w:tbl>
    <w:p w14:paraId="5F232D01" w14:textId="77777777" w:rsidR="002B3D45" w:rsidRDefault="002B3D45" w:rsidP="0063126F">
      <w:pPr>
        <w:spacing w:before="240" w:after="0"/>
        <w:rPr>
          <w:rFonts w:ascii="Arial" w:hAnsi="Arial" w:cs="Arial"/>
          <w:b/>
        </w:rPr>
      </w:pPr>
    </w:p>
    <w:p w14:paraId="638265B7" w14:textId="77777777" w:rsidR="00753EFB" w:rsidRDefault="00753EFB" w:rsidP="00753EF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Essex Secondary Planning Groups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5380"/>
        <w:gridCol w:w="1700"/>
        <w:gridCol w:w="1700"/>
        <w:gridCol w:w="1700"/>
      </w:tblGrid>
      <w:tr w:rsidR="002B3D45" w:rsidRPr="002B3D45" w14:paraId="5E95581E" w14:textId="77777777" w:rsidTr="002B3D45">
        <w:trPr>
          <w:trHeight w:val="3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E72" w14:textId="3CC52C13" w:rsidR="002B3D45" w:rsidRPr="002B3D45" w:rsidRDefault="00382ABB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Accuracy Measure of Secondary Forecasts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B7A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1-year ahead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CC6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2-year ahead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F85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3-year ahead</w:t>
            </w:r>
          </w:p>
        </w:tc>
      </w:tr>
      <w:tr w:rsidR="00325504" w:rsidRPr="002B3D45" w14:paraId="3B0F1FDA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58D5" w14:textId="77777777" w:rsidR="00325504" w:rsidRPr="002B3D45" w:rsidRDefault="00325504" w:rsidP="0032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Average accuracy error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5E" w14:textId="0F65745C" w:rsidR="00325504" w:rsidRPr="002B3D45" w:rsidRDefault="00903527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1.54%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2675" w14:textId="2A280599" w:rsidR="00325504" w:rsidRPr="002B3D45" w:rsidRDefault="005D1D28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5.05%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4D31" w14:textId="7A546BA6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6.32%</w:t>
            </w:r>
          </w:p>
        </w:tc>
      </w:tr>
      <w:tr w:rsidR="00325504" w:rsidRPr="002B3D45" w14:paraId="13A93C4F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B9DF" w14:textId="77777777" w:rsidR="00325504" w:rsidRPr="002B3D45" w:rsidRDefault="00325504" w:rsidP="0032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Absolute average accuracy error (%)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8B62" w14:textId="1EF40C5E" w:rsidR="00325504" w:rsidRPr="002B3D45" w:rsidRDefault="00903527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139B" w14:textId="1246ED16" w:rsidR="00325504" w:rsidRPr="002B3D45" w:rsidRDefault="005D1D28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5.16%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F574" w14:textId="09CAB515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6.41%</w:t>
            </w:r>
          </w:p>
        </w:tc>
      </w:tr>
      <w:tr w:rsidR="00325504" w:rsidRPr="002B3D45" w14:paraId="7BD36337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5C05" w14:textId="77777777" w:rsidR="00325504" w:rsidRPr="002B3D45" w:rsidRDefault="00325504" w:rsidP="0032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3EF" w14:textId="1B42DBA6" w:rsidR="00325504" w:rsidRPr="002B3D45" w:rsidRDefault="005D1D28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B2AD" w14:textId="371060C5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824C" w14:textId="6EC9F910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36%</w:t>
            </w:r>
          </w:p>
        </w:tc>
      </w:tr>
      <w:tr w:rsidR="00325504" w:rsidRPr="002B3D45" w14:paraId="416FD79F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2B5D" w14:textId="77777777" w:rsidR="00325504" w:rsidRPr="002B3D45" w:rsidRDefault="00325504" w:rsidP="0032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8EB0" w14:textId="02485FE8" w:rsidR="00325504" w:rsidRPr="002B3D45" w:rsidRDefault="005D1D28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D22C" w14:textId="5CFD372D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D2D4" w14:textId="44BC7097" w:rsidR="00325504" w:rsidRPr="002B3D45" w:rsidRDefault="007B538C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48%</w:t>
            </w:r>
          </w:p>
        </w:tc>
      </w:tr>
      <w:tr w:rsidR="00325504" w:rsidRPr="002B3D45" w14:paraId="6337A928" w14:textId="77777777" w:rsidTr="007A0D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C8F9" w14:textId="77777777" w:rsidR="00325504" w:rsidRPr="002B3D45" w:rsidRDefault="00325504" w:rsidP="0032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ECF8" w14:textId="76F76696" w:rsidR="00325504" w:rsidRPr="002B3D45" w:rsidRDefault="005D1D28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D151" w14:textId="71D848E2" w:rsidR="00325504" w:rsidRPr="002B3D45" w:rsidRDefault="00531AE3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E77E" w14:textId="2CF14030" w:rsidR="00325504" w:rsidRPr="002B3D45" w:rsidRDefault="007B538C" w:rsidP="0032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80%</w:t>
            </w:r>
          </w:p>
        </w:tc>
      </w:tr>
    </w:tbl>
    <w:p w14:paraId="6961624F" w14:textId="77777777" w:rsidR="002B3D45" w:rsidRPr="008A6A28" w:rsidRDefault="002B3D45" w:rsidP="0063126F">
      <w:pPr>
        <w:rPr>
          <w:rFonts w:ascii="Arial" w:hAnsi="Arial" w:cs="Arial"/>
          <w:b/>
        </w:rPr>
      </w:pPr>
    </w:p>
    <w:sectPr w:rsidR="002B3D45" w:rsidRPr="008A6A28" w:rsidSect="0084516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62D5" w14:textId="77777777" w:rsidR="00B84000" w:rsidRDefault="00B84000" w:rsidP="00B84000">
      <w:pPr>
        <w:spacing w:after="0" w:line="240" w:lineRule="auto"/>
      </w:pPr>
      <w:r>
        <w:separator/>
      </w:r>
    </w:p>
  </w:endnote>
  <w:endnote w:type="continuationSeparator" w:id="0">
    <w:p w14:paraId="748A8A49" w14:textId="77777777" w:rsidR="00B84000" w:rsidRDefault="00B84000" w:rsidP="00B8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576D" w14:textId="77777777" w:rsidR="00B84000" w:rsidRDefault="00B84000" w:rsidP="00B84000">
      <w:pPr>
        <w:spacing w:after="0" w:line="240" w:lineRule="auto"/>
      </w:pPr>
      <w:r>
        <w:separator/>
      </w:r>
    </w:p>
  </w:footnote>
  <w:footnote w:type="continuationSeparator" w:id="0">
    <w:p w14:paraId="40491A6B" w14:textId="77777777" w:rsidR="00B84000" w:rsidRDefault="00B84000" w:rsidP="00B84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A"/>
    <w:rsid w:val="00012403"/>
    <w:rsid w:val="001230BE"/>
    <w:rsid w:val="001714C3"/>
    <w:rsid w:val="001A556A"/>
    <w:rsid w:val="001D1864"/>
    <w:rsid w:val="00237104"/>
    <w:rsid w:val="0025199D"/>
    <w:rsid w:val="002A550A"/>
    <w:rsid w:val="002B3D45"/>
    <w:rsid w:val="002F6A14"/>
    <w:rsid w:val="002F6F65"/>
    <w:rsid w:val="00325504"/>
    <w:rsid w:val="00332E9C"/>
    <w:rsid w:val="00382ABB"/>
    <w:rsid w:val="003A1A21"/>
    <w:rsid w:val="003B5274"/>
    <w:rsid w:val="00401476"/>
    <w:rsid w:val="00407F49"/>
    <w:rsid w:val="004E1CA2"/>
    <w:rsid w:val="004F3512"/>
    <w:rsid w:val="00503054"/>
    <w:rsid w:val="00531AE3"/>
    <w:rsid w:val="005428BD"/>
    <w:rsid w:val="005B6D8A"/>
    <w:rsid w:val="005D1D28"/>
    <w:rsid w:val="005E1F56"/>
    <w:rsid w:val="005F699A"/>
    <w:rsid w:val="0063126F"/>
    <w:rsid w:val="00643EB6"/>
    <w:rsid w:val="006768A3"/>
    <w:rsid w:val="00677A49"/>
    <w:rsid w:val="00732136"/>
    <w:rsid w:val="00753EFB"/>
    <w:rsid w:val="007A0D54"/>
    <w:rsid w:val="007B538C"/>
    <w:rsid w:val="0084140A"/>
    <w:rsid w:val="00845164"/>
    <w:rsid w:val="00864C7B"/>
    <w:rsid w:val="00880381"/>
    <w:rsid w:val="00887C70"/>
    <w:rsid w:val="008A6A28"/>
    <w:rsid w:val="008C3679"/>
    <w:rsid w:val="008D0240"/>
    <w:rsid w:val="00903527"/>
    <w:rsid w:val="009E555C"/>
    <w:rsid w:val="00A41423"/>
    <w:rsid w:val="00A73D34"/>
    <w:rsid w:val="00B20B3C"/>
    <w:rsid w:val="00B84000"/>
    <w:rsid w:val="00B92B05"/>
    <w:rsid w:val="00BE4B28"/>
    <w:rsid w:val="00BF0504"/>
    <w:rsid w:val="00CD48EE"/>
    <w:rsid w:val="00CE0C4F"/>
    <w:rsid w:val="00D75565"/>
    <w:rsid w:val="00D964C5"/>
    <w:rsid w:val="00F247BB"/>
    <w:rsid w:val="00F628DF"/>
    <w:rsid w:val="00FA0368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FFB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2025-05-09T09:55:00Z</dcterms:created>
  <dcterms:modified xsi:type="dcterms:W3CDTF">2025-05-09T09:55:00Z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2025-05-09T09:55:04Z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788278e5-9e90-4037-a9a1-ff292bcc9a10</vt:lpwstr>
  </property>
  <property fmtid="{D5CDD505-2E9C-101B-9397-08002B2CF9AE}" pid="8" name="MSIP_Label_39d8be9e-c8d9-4b9c-bd40-2c27cc7ea2e6_ContentBits">
    <vt:lpwstr>0</vt:lpwstr>
  </property>
</Properties>
</file>