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1DB8741B"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CD75A2">
        <w:rPr>
          <w:rFonts w:ascii="Arial" w:hAnsi="Arial" w:cs="Arial"/>
          <w:b/>
          <w:bCs/>
          <w:sz w:val="32"/>
          <w:szCs w:val="32"/>
        </w:rPr>
        <w:t xml:space="preserve"> Early Intervention Service User Tracking</w:t>
      </w:r>
    </w:p>
    <w:tbl>
      <w:tblPr>
        <w:tblStyle w:val="GridTable1Light-Accent1"/>
        <w:tblW w:w="5000" w:type="pct"/>
        <w:tblLook w:val="01E0" w:firstRow="1" w:lastRow="1" w:firstColumn="1" w:lastColumn="1" w:noHBand="0" w:noVBand="0"/>
      </w:tblPr>
      <w:tblGrid>
        <w:gridCol w:w="2380"/>
        <w:gridCol w:w="1930"/>
        <w:gridCol w:w="1342"/>
        <w:gridCol w:w="4834"/>
        <w:gridCol w:w="1559"/>
        <w:gridCol w:w="1903"/>
      </w:tblGrid>
      <w:tr w:rsidR="00420C22" w:rsidRPr="00766582" w14:paraId="5D602948" w14:textId="77777777" w:rsidTr="5D604037">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92"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81"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33"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59"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82"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5D604037">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5DAB6C7B" w14:textId="6260A4BB" w:rsidR="00420C22" w:rsidRPr="00CD75A2" w:rsidRDefault="00CB7B23" w:rsidP="00303E08">
            <w:pPr>
              <w:rPr>
                <w:rFonts w:ascii="Arial" w:hAnsi="Arial" w:cs="Arial"/>
                <w:b w:val="0"/>
                <w:bCs w:val="0"/>
                <w:snapToGrid w:val="0"/>
                <w:color w:val="000000"/>
              </w:rPr>
            </w:pPr>
            <w:r w:rsidRPr="00CD75A2">
              <w:rPr>
                <w:rFonts w:ascii="Arial" w:hAnsi="Arial" w:cs="Arial"/>
                <w:b w:val="0"/>
                <w:bCs w:val="0"/>
                <w:snapToGrid w:val="0"/>
                <w:color w:val="000000"/>
              </w:rPr>
              <w:t>Essex County Council</w:t>
            </w:r>
          </w:p>
        </w:tc>
        <w:tc>
          <w:tcPr>
            <w:tcW w:w="692" w:type="pct"/>
          </w:tcPr>
          <w:p w14:paraId="02EB378F" w14:textId="55A169FB"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481" w:type="pct"/>
          </w:tcPr>
          <w:p w14:paraId="6A05A809" w14:textId="1648B522" w:rsidR="00420C22" w:rsidRPr="00766582" w:rsidRDefault="00E6047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33" w:type="pct"/>
          </w:tcPr>
          <w:p w14:paraId="5A39BBE3" w14:textId="7920807C" w:rsidR="00420C22" w:rsidRPr="009F0B18" w:rsidRDefault="00BF20F9"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E6047F" w:rsidRPr="006906CB">
                <w:rPr>
                  <w:rStyle w:val="Hyperlink"/>
                  <w:rFonts w:ascii="Arial" w:hAnsi="Arial" w:cs="Arial"/>
                  <w:snapToGrid w:val="0"/>
                </w:rPr>
                <w:t>dpo@essex.gov.uk</w:t>
              </w:r>
            </w:hyperlink>
            <w:r w:rsidR="00E6047F">
              <w:rPr>
                <w:rFonts w:ascii="Arial" w:hAnsi="Arial" w:cs="Arial"/>
                <w:snapToGrid w:val="0"/>
                <w:color w:val="000000"/>
              </w:rPr>
              <w:t xml:space="preserve"> </w:t>
            </w:r>
          </w:p>
        </w:tc>
        <w:tc>
          <w:tcPr>
            <w:tcW w:w="559" w:type="pct"/>
          </w:tcPr>
          <w:p w14:paraId="41C8F396" w14:textId="6723794D"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82" w:type="pct"/>
          </w:tcPr>
          <w:p w14:paraId="72A3D3EC" w14:textId="5B155E79" w:rsidR="00420C22" w:rsidRPr="007A3B24" w:rsidRDefault="00CB7B23" w:rsidP="00303E08">
            <w:pPr>
              <w:rPr>
                <w:rFonts w:ascii="Arial" w:hAnsi="Arial" w:cs="Arial"/>
                <w:b w:val="0"/>
                <w:bCs w:val="0"/>
                <w:snapToGrid w:val="0"/>
                <w:color w:val="000000"/>
              </w:rPr>
            </w:pPr>
            <w:r w:rsidRPr="007A3B24">
              <w:rPr>
                <w:rFonts w:ascii="Arial" w:hAnsi="Arial" w:cs="Arial"/>
                <w:b w:val="0"/>
                <w:bCs w:val="0"/>
                <w:snapToGrid w:val="0"/>
                <w:color w:val="000000"/>
              </w:rPr>
              <w:t>Z6034810</w:t>
            </w:r>
          </w:p>
        </w:tc>
      </w:tr>
      <w:tr w:rsidR="007A3B24" w:rsidRPr="00766582" w14:paraId="0D0B940D" w14:textId="77777777" w:rsidTr="5D604037">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0E27B00A" w14:textId="0E9E740F" w:rsidR="007A3B24" w:rsidRPr="007A3B24" w:rsidRDefault="007A3B24" w:rsidP="007A3B24">
            <w:pPr>
              <w:rPr>
                <w:rFonts w:ascii="Arial" w:hAnsi="Arial" w:cs="Arial"/>
                <w:b w:val="0"/>
                <w:bCs w:val="0"/>
                <w:snapToGrid w:val="0"/>
              </w:rPr>
            </w:pPr>
            <w:r w:rsidRPr="007A3B24">
              <w:rPr>
                <w:rFonts w:ascii="Arial" w:hAnsi="Arial" w:cs="Arial"/>
                <w:b w:val="0"/>
                <w:bCs w:val="0"/>
                <w:snapToGrid w:val="0"/>
                <w:color w:val="000000"/>
                <w:sz w:val="24"/>
                <w:szCs w:val="24"/>
              </w:rPr>
              <w:t>EWMHS</w:t>
            </w:r>
          </w:p>
        </w:tc>
        <w:tc>
          <w:tcPr>
            <w:tcW w:w="692" w:type="pct"/>
          </w:tcPr>
          <w:p w14:paraId="6FD70B9C" w14:textId="77777777" w:rsidR="007A3B24" w:rsidRPr="007126E5" w:rsidRDefault="007A3B24" w:rsidP="007A3B2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napToGrid w:val="0"/>
                <w:sz w:val="24"/>
                <w:szCs w:val="24"/>
              </w:rPr>
            </w:pPr>
            <w:r w:rsidRPr="007126E5">
              <w:rPr>
                <w:rFonts w:ascii="Arial" w:hAnsi="Arial" w:cs="Arial"/>
                <w:snapToGrid w:val="0"/>
                <w:sz w:val="24"/>
                <w:szCs w:val="24"/>
              </w:rPr>
              <w:t>NELFT NHS Foundation Trust</w:t>
            </w:r>
          </w:p>
          <w:p w14:paraId="27E5474D" w14:textId="77777777" w:rsidR="007A3B24" w:rsidRPr="007126E5" w:rsidRDefault="007A3B24" w:rsidP="007A3B2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napToGrid w:val="0"/>
                <w:sz w:val="24"/>
                <w:szCs w:val="24"/>
              </w:rPr>
            </w:pPr>
            <w:r w:rsidRPr="007126E5">
              <w:rPr>
                <w:rFonts w:ascii="Arial" w:hAnsi="Arial" w:cs="Arial"/>
                <w:snapToGrid w:val="0"/>
                <w:sz w:val="24"/>
                <w:szCs w:val="24"/>
              </w:rPr>
              <w:t>CEME Centre – West Wing</w:t>
            </w:r>
          </w:p>
          <w:p w14:paraId="21ED108B" w14:textId="77777777" w:rsidR="007A3B24" w:rsidRPr="007126E5" w:rsidRDefault="007A3B24" w:rsidP="007A3B2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napToGrid w:val="0"/>
                <w:sz w:val="24"/>
                <w:szCs w:val="24"/>
              </w:rPr>
            </w:pPr>
            <w:r w:rsidRPr="007126E5">
              <w:rPr>
                <w:rFonts w:ascii="Arial" w:hAnsi="Arial" w:cs="Arial"/>
                <w:snapToGrid w:val="0"/>
                <w:sz w:val="24"/>
                <w:szCs w:val="24"/>
              </w:rPr>
              <w:t>Marsh Way</w:t>
            </w:r>
          </w:p>
          <w:p w14:paraId="1EA0677C" w14:textId="77777777" w:rsidR="007A3B24" w:rsidRPr="007126E5" w:rsidRDefault="007A3B24" w:rsidP="007A3B2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napToGrid w:val="0"/>
                <w:sz w:val="24"/>
                <w:szCs w:val="24"/>
              </w:rPr>
            </w:pPr>
            <w:r w:rsidRPr="007126E5">
              <w:rPr>
                <w:rFonts w:ascii="Arial" w:hAnsi="Arial" w:cs="Arial"/>
                <w:snapToGrid w:val="0"/>
                <w:sz w:val="24"/>
                <w:szCs w:val="24"/>
              </w:rPr>
              <w:t>Rainham</w:t>
            </w:r>
          </w:p>
          <w:p w14:paraId="0AAEC25D" w14:textId="77777777" w:rsidR="007A3B24" w:rsidRPr="007126E5" w:rsidRDefault="007A3B24" w:rsidP="007A3B24">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napToGrid w:val="0"/>
                <w:sz w:val="24"/>
                <w:szCs w:val="24"/>
              </w:rPr>
            </w:pPr>
            <w:r w:rsidRPr="007126E5">
              <w:rPr>
                <w:rFonts w:ascii="Arial" w:hAnsi="Arial" w:cs="Arial"/>
                <w:snapToGrid w:val="0"/>
                <w:sz w:val="24"/>
                <w:szCs w:val="24"/>
              </w:rPr>
              <w:t>Essex</w:t>
            </w:r>
          </w:p>
          <w:p w14:paraId="60061E4C" w14:textId="6D6313BE" w:rsidR="007A3B24" w:rsidRPr="009B4AD0" w:rsidRDefault="007A3B24" w:rsidP="007A3B24">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sidRPr="007126E5">
              <w:rPr>
                <w:rFonts w:ascii="Arial" w:hAnsi="Arial" w:cs="Arial"/>
                <w:snapToGrid w:val="0"/>
                <w:sz w:val="24"/>
                <w:szCs w:val="24"/>
              </w:rPr>
              <w:t>RM13 8GQ</w:t>
            </w:r>
          </w:p>
        </w:tc>
        <w:tc>
          <w:tcPr>
            <w:tcW w:w="481" w:type="pct"/>
          </w:tcPr>
          <w:p w14:paraId="0CF95571" w14:textId="77777777" w:rsidR="007A3B24" w:rsidRPr="007126E5" w:rsidRDefault="007A3B24" w:rsidP="007A3B2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shd w:val="clear" w:color="auto" w:fill="06549C"/>
              </w:rPr>
            </w:pPr>
            <w:r w:rsidRPr="007126E5">
              <w:rPr>
                <w:rFonts w:ascii="Arial" w:hAnsi="Arial" w:cs="Arial"/>
                <w:snapToGrid w:val="0"/>
                <w:color w:val="000000"/>
                <w:sz w:val="24"/>
                <w:szCs w:val="24"/>
              </w:rPr>
              <w:t>0300 555 1200</w:t>
            </w:r>
          </w:p>
          <w:p w14:paraId="44EAFD9C" w14:textId="77777777" w:rsidR="007A3B24" w:rsidRPr="009B4AD0" w:rsidRDefault="007A3B24" w:rsidP="007A3B24">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1733" w:type="pct"/>
          </w:tcPr>
          <w:p w14:paraId="4B94D5A5" w14:textId="544F7570" w:rsidR="007A3B24" w:rsidRPr="009B4AD0" w:rsidRDefault="007A3B24" w:rsidP="007A3B24">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sidRPr="007126E5">
              <w:rPr>
                <w:rFonts w:ascii="Arial" w:hAnsi="Arial" w:cs="Arial"/>
                <w:snapToGrid w:val="0"/>
                <w:sz w:val="24"/>
                <w:szCs w:val="24"/>
              </w:rPr>
              <w:t xml:space="preserve"> </w:t>
            </w:r>
            <w:hyperlink r:id="rId13" w:history="1">
              <w:r w:rsidRPr="007126E5">
                <w:rPr>
                  <w:rStyle w:val="Hyperlink"/>
                  <w:rFonts w:ascii="Arial" w:hAnsi="Arial" w:cs="Arial"/>
                  <w:snapToGrid w:val="0"/>
                  <w:sz w:val="24"/>
                  <w:szCs w:val="24"/>
                </w:rPr>
                <w:t>Robert.Paley@nelft.nhs.uk</w:t>
              </w:r>
            </w:hyperlink>
            <w:r w:rsidRPr="007126E5">
              <w:rPr>
                <w:rFonts w:ascii="Arial" w:hAnsi="Arial" w:cs="Arial"/>
                <w:snapToGrid w:val="0"/>
                <w:sz w:val="24"/>
                <w:szCs w:val="24"/>
              </w:rPr>
              <w:t xml:space="preserve"> </w:t>
            </w:r>
          </w:p>
        </w:tc>
        <w:tc>
          <w:tcPr>
            <w:tcW w:w="559" w:type="pct"/>
          </w:tcPr>
          <w:p w14:paraId="3DEEC669" w14:textId="07593C08" w:rsidR="007A3B24" w:rsidRPr="009B4AD0" w:rsidRDefault="007A3B24" w:rsidP="007A3B24">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color w:val="000000"/>
              </w:rPr>
              <w:t>Robert Paley</w:t>
            </w:r>
          </w:p>
        </w:tc>
        <w:tc>
          <w:tcPr>
            <w:cnfStyle w:val="000100000000" w:firstRow="0" w:lastRow="0" w:firstColumn="0" w:lastColumn="1" w:oddVBand="0" w:evenVBand="0" w:oddHBand="0" w:evenHBand="0" w:firstRowFirstColumn="0" w:firstRowLastColumn="0" w:lastRowFirstColumn="0" w:lastRowLastColumn="0"/>
            <w:tcW w:w="682" w:type="pct"/>
          </w:tcPr>
          <w:p w14:paraId="3656B9AB" w14:textId="0560B96E" w:rsidR="007A3B24" w:rsidRPr="007A3B24" w:rsidRDefault="007A3B24" w:rsidP="007A3B24">
            <w:pPr>
              <w:rPr>
                <w:rFonts w:ascii="Arial" w:hAnsi="Arial" w:cs="Arial"/>
                <w:b w:val="0"/>
                <w:bCs w:val="0"/>
                <w:snapToGrid w:val="0"/>
              </w:rPr>
            </w:pPr>
            <w:r w:rsidRPr="007A3B24">
              <w:rPr>
                <w:rFonts w:ascii="Arial" w:hAnsi="Arial" w:cs="Arial"/>
                <w:b w:val="0"/>
                <w:bCs w:val="0"/>
                <w:snapToGrid w:val="0"/>
                <w:color w:val="000000"/>
              </w:rPr>
              <w:t>Z9096541</w:t>
            </w:r>
          </w:p>
        </w:tc>
      </w:tr>
      <w:tr w:rsidR="007A3B24" w:rsidRPr="00766582" w14:paraId="7C10521F" w14:textId="77777777" w:rsidTr="5D604037">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367F5775" w14:textId="77777777" w:rsidR="007A3B24" w:rsidRPr="00766582" w:rsidRDefault="007A3B24" w:rsidP="007A3B24">
            <w:pPr>
              <w:rPr>
                <w:rFonts w:ascii="Arial" w:hAnsi="Arial" w:cs="Arial"/>
                <w:snapToGrid w:val="0"/>
                <w:color w:val="000000"/>
              </w:rPr>
            </w:pPr>
          </w:p>
        </w:tc>
        <w:tc>
          <w:tcPr>
            <w:tcW w:w="692" w:type="pct"/>
          </w:tcPr>
          <w:p w14:paraId="4E4AEAB0" w14:textId="77777777" w:rsidR="007A3B24" w:rsidRPr="00766582" w:rsidRDefault="007A3B24" w:rsidP="007A3B24">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481" w:type="pct"/>
          </w:tcPr>
          <w:p w14:paraId="2B1A41D9" w14:textId="77777777" w:rsidR="007A3B24" w:rsidRPr="00766582" w:rsidRDefault="007A3B24" w:rsidP="007A3B24">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33" w:type="pct"/>
          </w:tcPr>
          <w:p w14:paraId="295CE87E" w14:textId="77777777" w:rsidR="007A3B24" w:rsidRPr="00766582" w:rsidRDefault="007A3B24" w:rsidP="007A3B24">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59" w:type="pct"/>
          </w:tcPr>
          <w:p w14:paraId="6C4FE843" w14:textId="77777777" w:rsidR="007A3B24" w:rsidRPr="00766582" w:rsidRDefault="007A3B24" w:rsidP="007A3B24">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82" w:type="pct"/>
          </w:tcPr>
          <w:p w14:paraId="508E3EE9" w14:textId="77777777" w:rsidR="007A3B24" w:rsidRPr="00766582" w:rsidRDefault="007A3B24" w:rsidP="007A3B24">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21F6C" w:rsidRPr="00766582" w14:paraId="39648039" w14:textId="77777777" w:rsidTr="007D3DE4">
        <w:tc>
          <w:tcPr>
            <w:tcW w:w="1980" w:type="pct"/>
          </w:tcPr>
          <w:p w14:paraId="3077EDF4" w14:textId="3E66694E" w:rsidR="00B21F6C" w:rsidRPr="002D359A" w:rsidRDefault="00B21F6C" w:rsidP="00B21F6C">
            <w:pPr>
              <w:rPr>
                <w:rFonts w:ascii="Arial" w:hAnsi="Arial" w:cs="Arial"/>
                <w:bCs/>
                <w:snapToGrid w:val="0"/>
                <w:color w:val="000000"/>
              </w:rPr>
            </w:pPr>
            <w:r w:rsidRPr="002D359A">
              <w:rPr>
                <w:rFonts w:ascii="Arial" w:hAnsi="Arial" w:cs="Arial"/>
                <w:bCs/>
                <w:snapToGrid w:val="0"/>
                <w:color w:val="000000"/>
              </w:rPr>
              <w:t xml:space="preserve">Date </w:t>
            </w:r>
            <w:r>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43FB9DEE" w:rsidR="00B21F6C" w:rsidRPr="00766582" w:rsidRDefault="00B21F6C" w:rsidP="00B21F6C">
            <w:pPr>
              <w:rPr>
                <w:rFonts w:ascii="Arial" w:hAnsi="Arial" w:cs="Arial"/>
                <w:snapToGrid w:val="0"/>
                <w:color w:val="000000"/>
              </w:rPr>
            </w:pPr>
            <w:r>
              <w:rPr>
                <w:rFonts w:ascii="Arial" w:hAnsi="Arial" w:cs="Arial"/>
                <w:snapToGrid w:val="0"/>
                <w:color w:val="000000"/>
              </w:rPr>
              <w:t>29/10/2020</w:t>
            </w:r>
          </w:p>
        </w:tc>
      </w:tr>
      <w:tr w:rsidR="00B21F6C" w:rsidRPr="00766582" w14:paraId="22EC4A84" w14:textId="77777777" w:rsidTr="007D3DE4">
        <w:tc>
          <w:tcPr>
            <w:tcW w:w="1980" w:type="pct"/>
          </w:tcPr>
          <w:p w14:paraId="5F97E1FF" w14:textId="55109251" w:rsidR="00B21F6C" w:rsidRPr="002D359A" w:rsidRDefault="00B21F6C" w:rsidP="00B21F6C">
            <w:pPr>
              <w:rPr>
                <w:rFonts w:ascii="Arial" w:hAnsi="Arial" w:cs="Arial"/>
                <w:bCs/>
                <w:snapToGrid w:val="0"/>
                <w:color w:val="000000"/>
              </w:rPr>
            </w:pPr>
            <w:r w:rsidRPr="002D359A">
              <w:rPr>
                <w:rFonts w:ascii="Arial" w:hAnsi="Arial" w:cs="Arial"/>
                <w:bCs/>
                <w:snapToGrid w:val="0"/>
                <w:color w:val="000000"/>
              </w:rPr>
              <w:t xml:space="preserve">Date of </w:t>
            </w:r>
            <w:r>
              <w:rPr>
                <w:rFonts w:ascii="Arial" w:hAnsi="Arial" w:cs="Arial"/>
                <w:bCs/>
                <w:snapToGrid w:val="0"/>
                <w:color w:val="000000"/>
              </w:rPr>
              <w:t>next Protocol</w:t>
            </w:r>
            <w:r w:rsidRPr="002D359A">
              <w:rPr>
                <w:rFonts w:ascii="Arial" w:hAnsi="Arial" w:cs="Arial"/>
                <w:bCs/>
                <w:snapToGrid w:val="0"/>
                <w:color w:val="000000"/>
              </w:rPr>
              <w:t xml:space="preserve"> review</w:t>
            </w:r>
          </w:p>
        </w:tc>
        <w:tc>
          <w:tcPr>
            <w:tcW w:w="3020" w:type="pct"/>
          </w:tcPr>
          <w:p w14:paraId="60C5E4ED" w14:textId="26E68522" w:rsidR="00B21F6C" w:rsidRPr="00766582" w:rsidRDefault="00B21F6C" w:rsidP="00B21F6C">
            <w:pPr>
              <w:rPr>
                <w:rFonts w:ascii="Arial" w:hAnsi="Arial" w:cs="Arial"/>
                <w:snapToGrid w:val="0"/>
                <w:color w:val="000000"/>
              </w:rPr>
            </w:pPr>
            <w:r>
              <w:rPr>
                <w:rFonts w:ascii="Arial" w:hAnsi="Arial" w:cs="Arial"/>
                <w:snapToGrid w:val="0"/>
                <w:color w:val="000000"/>
              </w:rPr>
              <w:t>29/10/2023</w:t>
            </w:r>
          </w:p>
        </w:tc>
      </w:tr>
      <w:tr w:rsidR="00B21F6C" w:rsidRPr="00766582" w14:paraId="2E6477CC" w14:textId="77777777" w:rsidTr="007D3DE4">
        <w:tc>
          <w:tcPr>
            <w:tcW w:w="1980" w:type="pct"/>
          </w:tcPr>
          <w:p w14:paraId="5DF36B70" w14:textId="2A78D42E" w:rsidR="00B21F6C" w:rsidRPr="00766582" w:rsidRDefault="00B21F6C" w:rsidP="00B21F6C">
            <w:pPr>
              <w:rPr>
                <w:rFonts w:ascii="Arial" w:hAnsi="Arial" w:cs="Arial"/>
                <w:b/>
                <w:snapToGrid w:val="0"/>
                <w:color w:val="000000"/>
              </w:rPr>
            </w:pPr>
            <w:r>
              <w:rPr>
                <w:rFonts w:ascii="Arial" w:hAnsi="Arial" w:cs="Arial"/>
                <w:b/>
                <w:snapToGrid w:val="0"/>
                <w:color w:val="000000"/>
              </w:rPr>
              <w:t>Protocol</w:t>
            </w:r>
            <w:r w:rsidRPr="00766582">
              <w:rPr>
                <w:rFonts w:ascii="Arial" w:hAnsi="Arial" w:cs="Arial"/>
                <w:b/>
                <w:snapToGrid w:val="0"/>
                <w:color w:val="000000"/>
              </w:rPr>
              <w:t xml:space="preserve"> </w:t>
            </w:r>
            <w:r>
              <w:rPr>
                <w:rFonts w:ascii="Arial" w:hAnsi="Arial" w:cs="Arial"/>
                <w:b/>
                <w:snapToGrid w:val="0"/>
                <w:color w:val="000000"/>
              </w:rPr>
              <w:t xml:space="preserve">Lead </w:t>
            </w:r>
            <w:r w:rsidRPr="002D359A">
              <w:rPr>
                <w:rFonts w:ascii="Arial" w:hAnsi="Arial" w:cs="Arial"/>
                <w:b/>
                <w:snapToGrid w:val="0"/>
                <w:color w:val="000000"/>
              </w:rPr>
              <w:t>Organisation</w:t>
            </w:r>
          </w:p>
        </w:tc>
        <w:tc>
          <w:tcPr>
            <w:tcW w:w="3020" w:type="pct"/>
          </w:tcPr>
          <w:p w14:paraId="5E6D9E73" w14:textId="748E42BD" w:rsidR="00B21F6C" w:rsidRPr="00766582" w:rsidRDefault="00B21F6C" w:rsidP="00B21F6C">
            <w:pPr>
              <w:rPr>
                <w:rFonts w:ascii="Arial" w:hAnsi="Arial" w:cs="Arial"/>
                <w:snapToGrid w:val="0"/>
                <w:color w:val="000000"/>
              </w:rPr>
            </w:pPr>
            <w:r w:rsidRPr="0075170F">
              <w:rPr>
                <w:rFonts w:ascii="Arial" w:hAnsi="Arial" w:cs="Arial"/>
                <w:snapToGrid w:val="0"/>
                <w:color w:val="000000"/>
              </w:rPr>
              <w:t>Essex County Council</w:t>
            </w:r>
          </w:p>
        </w:tc>
      </w:tr>
      <w:tr w:rsidR="00B21F6C" w:rsidRPr="00766582" w14:paraId="61BD1B58" w14:textId="77777777" w:rsidTr="007D3DE4">
        <w:tc>
          <w:tcPr>
            <w:tcW w:w="1980" w:type="pct"/>
          </w:tcPr>
          <w:p w14:paraId="5F5494AA" w14:textId="6ECF71CB" w:rsidR="00B21F6C" w:rsidRPr="002D359A" w:rsidRDefault="00B21F6C" w:rsidP="00B21F6C">
            <w:pPr>
              <w:rPr>
                <w:rFonts w:ascii="Arial" w:hAnsi="Arial" w:cs="Arial"/>
                <w:bCs/>
                <w:snapToGrid w:val="0"/>
                <w:color w:val="000000"/>
              </w:rPr>
            </w:pPr>
            <w:r>
              <w:rPr>
                <w:rFonts w:ascii="Arial" w:hAnsi="Arial" w:cs="Arial"/>
                <w:bCs/>
                <w:snapToGrid w:val="0"/>
                <w:color w:val="000000"/>
              </w:rPr>
              <w:t>Protocol</w:t>
            </w:r>
            <w:r w:rsidRPr="002D359A">
              <w:rPr>
                <w:rFonts w:ascii="Arial" w:hAnsi="Arial" w:cs="Arial"/>
                <w:bCs/>
                <w:snapToGrid w:val="0"/>
                <w:color w:val="000000"/>
              </w:rPr>
              <w:t xml:space="preserve"> drawn up by (Author(s))</w:t>
            </w:r>
          </w:p>
        </w:tc>
        <w:tc>
          <w:tcPr>
            <w:tcW w:w="3020" w:type="pct"/>
          </w:tcPr>
          <w:p w14:paraId="4AD82981" w14:textId="10A34140" w:rsidR="00B21F6C" w:rsidRPr="00766582" w:rsidRDefault="00B21F6C" w:rsidP="00B21F6C">
            <w:pPr>
              <w:rPr>
                <w:rFonts w:ascii="Arial" w:hAnsi="Arial" w:cs="Arial"/>
                <w:snapToGrid w:val="0"/>
                <w:color w:val="000000"/>
              </w:rPr>
            </w:pPr>
            <w:r>
              <w:rPr>
                <w:rFonts w:ascii="Arial" w:hAnsi="Arial" w:cs="Arial"/>
                <w:snapToGrid w:val="0"/>
                <w:color w:val="000000"/>
              </w:rPr>
              <w:t>Wendy Pope and Kim Gisby</w:t>
            </w:r>
          </w:p>
        </w:tc>
      </w:tr>
      <w:tr w:rsidR="00B21F6C" w:rsidRPr="00766582" w14:paraId="740732CC" w14:textId="77777777" w:rsidTr="007D3DE4">
        <w:trPr>
          <w:trHeight w:val="256"/>
        </w:trPr>
        <w:tc>
          <w:tcPr>
            <w:tcW w:w="1980" w:type="pct"/>
          </w:tcPr>
          <w:p w14:paraId="2ECEE4DF" w14:textId="58527935" w:rsidR="00B21F6C" w:rsidRPr="002D359A" w:rsidRDefault="00B21F6C" w:rsidP="00B21F6C">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620B0000" w:rsidR="00B21F6C" w:rsidRPr="00766582" w:rsidRDefault="00B21F6C" w:rsidP="00B21F6C">
            <w:pPr>
              <w:rPr>
                <w:rFonts w:ascii="Arial" w:hAnsi="Arial" w:cs="Arial"/>
                <w:snapToGrid w:val="0"/>
                <w:color w:val="000000"/>
              </w:rPr>
            </w:pPr>
            <w:r>
              <w:rPr>
                <w:rFonts w:ascii="Arial" w:hAnsi="Arial" w:cs="Arial"/>
                <w:snapToGrid w:val="0"/>
                <w:color w:val="000000"/>
              </w:rPr>
              <w:t>Approved</w:t>
            </w:r>
          </w:p>
        </w:tc>
      </w:tr>
      <w:tr w:rsidR="00B21F6C" w:rsidRPr="00766582" w14:paraId="0E17A474" w14:textId="77777777" w:rsidTr="007D3DE4">
        <w:trPr>
          <w:trHeight w:val="218"/>
        </w:trPr>
        <w:tc>
          <w:tcPr>
            <w:tcW w:w="1980" w:type="pct"/>
          </w:tcPr>
          <w:p w14:paraId="5334A04A" w14:textId="77777777" w:rsidR="00B21F6C" w:rsidRPr="002D359A" w:rsidRDefault="00B21F6C" w:rsidP="00B21F6C">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212DFF36" w:rsidR="00B21F6C" w:rsidRPr="00766582" w:rsidRDefault="00B21F6C" w:rsidP="00B21F6C">
            <w:pPr>
              <w:rPr>
                <w:rFonts w:ascii="Arial" w:hAnsi="Arial" w:cs="Arial"/>
                <w:snapToGrid w:val="0"/>
                <w:color w:val="000000"/>
              </w:rPr>
            </w:pPr>
            <w:r>
              <w:rPr>
                <w:rFonts w:ascii="Arial" w:hAnsi="Arial" w:cs="Arial"/>
                <w:snapToGrid w:val="0"/>
                <w:color w:val="000000"/>
              </w:rPr>
              <w:t>1.0</w:t>
            </w:r>
          </w:p>
        </w:tc>
      </w:tr>
    </w:tbl>
    <w:p w14:paraId="6A634130" w14:textId="77777777" w:rsidR="00DE6587" w:rsidRDefault="00DE6587"/>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or other regulators;</w:t>
      </w:r>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greater public trust and a better relationship by ensuring that legally required safeguards are in place and complied with;</w:t>
      </w:r>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better protection for individuals when their data is shared;</w:t>
      </w:r>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increased data sharing when this is necessary and beneficial;</w:t>
      </w:r>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reduced reputational risk caused by the inappropriate or insecure sharing of personal data;</w:t>
      </w:r>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reduced risk of questions, complaints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Please ensure all sections of the template are fully completed with sufficient detail to provide assurance that the sharing is conducted lawfully, securely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885587">
        <w:tc>
          <w:tcPr>
            <w:tcW w:w="6668"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360"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20"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885587" w:rsidRPr="008C4928" w14:paraId="59961582" w14:textId="77777777" w:rsidTr="00885587">
        <w:tc>
          <w:tcPr>
            <w:tcW w:w="6668" w:type="dxa"/>
          </w:tcPr>
          <w:p w14:paraId="2774B478" w14:textId="22C2827D" w:rsidR="00885587" w:rsidRPr="008C4928" w:rsidRDefault="00885587" w:rsidP="00885587">
            <w:pPr>
              <w:rPr>
                <w:rFonts w:ascii="Arial" w:hAnsi="Arial" w:cs="Arial"/>
                <w:sz w:val="24"/>
                <w:szCs w:val="24"/>
              </w:rPr>
            </w:pPr>
            <w:r>
              <w:rPr>
                <w:rFonts w:ascii="Arial" w:hAnsi="Arial" w:cs="Arial"/>
                <w:sz w:val="24"/>
                <w:szCs w:val="24"/>
              </w:rPr>
              <w:t xml:space="preserve">Data </w:t>
            </w:r>
            <w:r w:rsidRPr="006C7450">
              <w:rPr>
                <w:rFonts w:ascii="Arial" w:hAnsi="Arial" w:cs="Arial"/>
                <w:sz w:val="24"/>
                <w:szCs w:val="24"/>
              </w:rPr>
              <w:t>Pr</w:t>
            </w:r>
            <w:r>
              <w:rPr>
                <w:rFonts w:ascii="Arial" w:hAnsi="Arial" w:cs="Arial"/>
                <w:sz w:val="24"/>
                <w:szCs w:val="24"/>
              </w:rPr>
              <w:t>otection</w:t>
            </w:r>
            <w:r w:rsidRPr="006C7450">
              <w:rPr>
                <w:rFonts w:ascii="Arial" w:hAnsi="Arial" w:cs="Arial"/>
                <w:sz w:val="24"/>
                <w:szCs w:val="24"/>
              </w:rPr>
              <w:t xml:space="preserve"> Impact Assessment</w:t>
            </w:r>
            <w:r>
              <w:rPr>
                <w:rStyle w:val="Hyperlink"/>
                <w:rFonts w:ascii="Arial" w:hAnsi="Arial" w:cs="Arial"/>
                <w:sz w:val="24"/>
                <w:szCs w:val="24"/>
              </w:rPr>
              <w:t xml:space="preserve"> </w:t>
            </w:r>
            <w:r w:rsidRPr="006C7450">
              <w:rPr>
                <w:rStyle w:val="Hyperlink"/>
                <w:rFonts w:ascii="Arial" w:hAnsi="Arial" w:cs="Arial"/>
                <w:color w:val="auto"/>
                <w:sz w:val="24"/>
                <w:szCs w:val="24"/>
              </w:rPr>
              <w:t>(DPIA)</w:t>
            </w:r>
          </w:p>
        </w:tc>
        <w:tc>
          <w:tcPr>
            <w:tcW w:w="3360" w:type="dxa"/>
            <w:shd w:val="clear" w:color="auto" w:fill="auto"/>
          </w:tcPr>
          <w:p w14:paraId="61829076" w14:textId="2D4233C5" w:rsidR="00885587" w:rsidRPr="00885587" w:rsidRDefault="00885587" w:rsidP="00885587">
            <w:pPr>
              <w:rPr>
                <w:rFonts w:ascii="Arial" w:hAnsi="Arial" w:cs="Arial"/>
                <w:b w:val="0"/>
                <w:bCs/>
                <w:sz w:val="24"/>
                <w:szCs w:val="24"/>
              </w:rPr>
            </w:pPr>
            <w:r w:rsidRPr="00885587">
              <w:rPr>
                <w:rFonts w:ascii="Arial" w:hAnsi="Arial" w:cs="Arial"/>
                <w:b w:val="0"/>
                <w:bCs/>
                <w:sz w:val="24"/>
                <w:szCs w:val="24"/>
              </w:rPr>
              <w:t>00413a</w:t>
            </w:r>
          </w:p>
        </w:tc>
        <w:tc>
          <w:tcPr>
            <w:tcW w:w="3920" w:type="dxa"/>
          </w:tcPr>
          <w:p w14:paraId="2BA226A1" w14:textId="5FC8E594" w:rsidR="00885587" w:rsidRPr="00885587" w:rsidRDefault="00885587" w:rsidP="00885587">
            <w:pPr>
              <w:rPr>
                <w:rFonts w:ascii="Arial" w:hAnsi="Arial" w:cs="Arial"/>
                <w:b w:val="0"/>
                <w:bCs/>
                <w:sz w:val="24"/>
                <w:szCs w:val="24"/>
              </w:rPr>
            </w:pPr>
            <w:r w:rsidRPr="00885587">
              <w:rPr>
                <w:rFonts w:ascii="Arial" w:hAnsi="Arial" w:cs="Arial"/>
                <w:b w:val="0"/>
                <w:bCs/>
                <w:sz w:val="24"/>
                <w:szCs w:val="24"/>
              </w:rPr>
              <w:t>Essex County Council</w:t>
            </w:r>
          </w:p>
        </w:tc>
      </w:tr>
      <w:tr w:rsidR="00885587" w:rsidRPr="008C4928" w14:paraId="434F7D44" w14:textId="77777777" w:rsidTr="00885587">
        <w:tc>
          <w:tcPr>
            <w:tcW w:w="6668" w:type="dxa"/>
          </w:tcPr>
          <w:p w14:paraId="19DA0583" w14:textId="77777777" w:rsidR="00885587" w:rsidRPr="008C4928" w:rsidRDefault="00885587" w:rsidP="00885587">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360" w:type="dxa"/>
          </w:tcPr>
          <w:p w14:paraId="17AD93B2" w14:textId="6DBE454C" w:rsidR="00885587" w:rsidRPr="008C4928" w:rsidRDefault="00885587" w:rsidP="00885587">
            <w:pPr>
              <w:rPr>
                <w:rFonts w:ascii="Arial" w:hAnsi="Arial" w:cs="Arial"/>
                <w:sz w:val="24"/>
                <w:szCs w:val="24"/>
              </w:rPr>
            </w:pPr>
          </w:p>
        </w:tc>
        <w:tc>
          <w:tcPr>
            <w:tcW w:w="3920" w:type="dxa"/>
          </w:tcPr>
          <w:p w14:paraId="0DE4B5B7" w14:textId="77777777" w:rsidR="00885587" w:rsidRPr="008C4928" w:rsidRDefault="00885587" w:rsidP="00885587">
            <w:pPr>
              <w:rPr>
                <w:rFonts w:ascii="Arial" w:hAnsi="Arial" w:cs="Arial"/>
                <w:sz w:val="24"/>
                <w:szCs w:val="24"/>
              </w:rPr>
            </w:pPr>
          </w:p>
        </w:tc>
      </w:tr>
      <w:tr w:rsidR="00885587" w:rsidRPr="008C4928" w14:paraId="47C5F58A" w14:textId="77777777" w:rsidTr="00885587">
        <w:tc>
          <w:tcPr>
            <w:tcW w:w="6668" w:type="dxa"/>
          </w:tcPr>
          <w:p w14:paraId="61CB2E6C" w14:textId="77777777" w:rsidR="00885587" w:rsidRPr="008C4928" w:rsidRDefault="00885587" w:rsidP="00885587">
            <w:pPr>
              <w:rPr>
                <w:rFonts w:ascii="Arial" w:hAnsi="Arial" w:cs="Arial"/>
                <w:sz w:val="24"/>
                <w:szCs w:val="24"/>
              </w:rPr>
            </w:pPr>
            <w:r>
              <w:rPr>
                <w:rFonts w:ascii="Arial" w:hAnsi="Arial" w:cs="Arial"/>
                <w:sz w:val="24"/>
                <w:szCs w:val="24"/>
              </w:rPr>
              <w:t>Associated contract</w:t>
            </w:r>
          </w:p>
        </w:tc>
        <w:tc>
          <w:tcPr>
            <w:tcW w:w="3360" w:type="dxa"/>
          </w:tcPr>
          <w:p w14:paraId="66204FF1" w14:textId="37756980" w:rsidR="00885587" w:rsidRPr="008C4928" w:rsidRDefault="00885587" w:rsidP="00885587">
            <w:pPr>
              <w:rPr>
                <w:rFonts w:ascii="Arial" w:hAnsi="Arial" w:cs="Arial"/>
                <w:sz w:val="24"/>
                <w:szCs w:val="24"/>
              </w:rPr>
            </w:pPr>
          </w:p>
        </w:tc>
        <w:tc>
          <w:tcPr>
            <w:tcW w:w="3920" w:type="dxa"/>
          </w:tcPr>
          <w:p w14:paraId="2DBF0D7D" w14:textId="3DA3CA52" w:rsidR="00885587" w:rsidRPr="008C4928" w:rsidRDefault="00885587" w:rsidP="00885587">
            <w:pPr>
              <w:rPr>
                <w:rFonts w:ascii="Arial" w:hAnsi="Arial" w:cs="Arial"/>
                <w:sz w:val="24"/>
                <w:szCs w:val="24"/>
              </w:rPr>
            </w:pPr>
          </w:p>
        </w:tc>
      </w:tr>
      <w:tr w:rsidR="00885587" w:rsidRPr="008C4928" w14:paraId="60B012E9" w14:textId="77777777" w:rsidTr="00885587">
        <w:tc>
          <w:tcPr>
            <w:tcW w:w="6668" w:type="dxa"/>
          </w:tcPr>
          <w:p w14:paraId="6C63D0BD" w14:textId="77777777" w:rsidR="00885587" w:rsidRDefault="00885587" w:rsidP="00885587">
            <w:pPr>
              <w:rPr>
                <w:rFonts w:ascii="Arial" w:hAnsi="Arial" w:cs="Arial"/>
                <w:sz w:val="24"/>
                <w:szCs w:val="24"/>
              </w:rPr>
            </w:pPr>
            <w:r>
              <w:rPr>
                <w:rFonts w:ascii="Arial" w:hAnsi="Arial" w:cs="Arial"/>
                <w:sz w:val="24"/>
                <w:szCs w:val="24"/>
              </w:rPr>
              <w:t>Associated Policy Documents</w:t>
            </w:r>
          </w:p>
        </w:tc>
        <w:tc>
          <w:tcPr>
            <w:tcW w:w="3360" w:type="dxa"/>
          </w:tcPr>
          <w:p w14:paraId="6B62F1B3" w14:textId="2E5D14C4" w:rsidR="00885587" w:rsidRPr="008C4928" w:rsidRDefault="00885587" w:rsidP="00885587">
            <w:pPr>
              <w:rPr>
                <w:rFonts w:ascii="Arial" w:hAnsi="Arial" w:cs="Arial"/>
                <w:sz w:val="24"/>
                <w:szCs w:val="24"/>
              </w:rPr>
            </w:pPr>
          </w:p>
        </w:tc>
        <w:tc>
          <w:tcPr>
            <w:tcW w:w="3920" w:type="dxa"/>
          </w:tcPr>
          <w:p w14:paraId="02F2C34E" w14:textId="77777777" w:rsidR="00885587" w:rsidRPr="008C4928" w:rsidRDefault="00885587" w:rsidP="00885587">
            <w:pPr>
              <w:rPr>
                <w:rFonts w:ascii="Arial" w:hAnsi="Arial" w:cs="Arial"/>
                <w:sz w:val="24"/>
                <w:szCs w:val="24"/>
              </w:rPr>
            </w:pPr>
          </w:p>
        </w:tc>
      </w:tr>
      <w:tr w:rsidR="00885587" w:rsidRPr="008C4928" w14:paraId="44899904" w14:textId="77777777" w:rsidTr="00885587">
        <w:tc>
          <w:tcPr>
            <w:tcW w:w="6668" w:type="dxa"/>
          </w:tcPr>
          <w:p w14:paraId="2A59F6A1" w14:textId="77777777" w:rsidR="00885587" w:rsidRPr="008C4928" w:rsidRDefault="00885587" w:rsidP="00885587">
            <w:pPr>
              <w:rPr>
                <w:rFonts w:ascii="Arial" w:hAnsi="Arial" w:cs="Arial"/>
                <w:sz w:val="24"/>
                <w:szCs w:val="24"/>
              </w:rPr>
            </w:pPr>
            <w:r>
              <w:rPr>
                <w:rFonts w:ascii="Arial" w:hAnsi="Arial" w:cs="Arial"/>
                <w:sz w:val="24"/>
                <w:szCs w:val="24"/>
              </w:rPr>
              <w:t>Other associated supporting documentation</w:t>
            </w:r>
          </w:p>
        </w:tc>
        <w:tc>
          <w:tcPr>
            <w:tcW w:w="3360" w:type="dxa"/>
          </w:tcPr>
          <w:p w14:paraId="680A4E5D" w14:textId="43F25EB2" w:rsidR="00885587" w:rsidRPr="008C4928" w:rsidRDefault="00885587" w:rsidP="00885587">
            <w:pPr>
              <w:rPr>
                <w:rFonts w:ascii="Arial" w:hAnsi="Arial" w:cs="Arial"/>
                <w:sz w:val="24"/>
                <w:szCs w:val="24"/>
              </w:rPr>
            </w:pPr>
          </w:p>
        </w:tc>
        <w:tc>
          <w:tcPr>
            <w:tcW w:w="3920" w:type="dxa"/>
          </w:tcPr>
          <w:p w14:paraId="19219836" w14:textId="77777777" w:rsidR="00885587" w:rsidRPr="008C4928" w:rsidRDefault="00885587" w:rsidP="00885587">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45C549EE" w14:textId="3CB20C5F" w:rsidR="00575033" w:rsidRDefault="00575033" w:rsidP="006010FD"/>
          <w:p w14:paraId="7DC906A0" w14:textId="77777777" w:rsidR="00AA2D2B" w:rsidRPr="00AA2D2B" w:rsidRDefault="00AA2D2B" w:rsidP="00AA2D2B">
            <w:pPr>
              <w:spacing w:before="40" w:after="40"/>
              <w:rPr>
                <w:rFonts w:ascii="Arial" w:hAnsi="Arial" w:cs="Arial"/>
                <w:b w:val="0"/>
                <w:bCs/>
                <w:sz w:val="24"/>
                <w:szCs w:val="24"/>
              </w:rPr>
            </w:pPr>
            <w:r w:rsidRPr="00AA2D2B">
              <w:rPr>
                <w:rFonts w:ascii="Arial" w:hAnsi="Arial" w:cs="Arial"/>
                <w:b w:val="0"/>
                <w:bCs/>
                <w:sz w:val="24"/>
                <w:szCs w:val="24"/>
              </w:rPr>
              <w:t>Essex County Council are to invest £1,000,000 over two years, April 2020- March 2022, to extend the Early Intervention, Family innovation Fund (</w:t>
            </w:r>
            <w:proofErr w:type="spellStart"/>
            <w:r w:rsidRPr="00AA2D2B">
              <w:rPr>
                <w:rFonts w:ascii="Arial" w:hAnsi="Arial" w:cs="Arial"/>
                <w:b w:val="0"/>
                <w:bCs/>
                <w:sz w:val="24"/>
                <w:szCs w:val="24"/>
              </w:rPr>
              <w:t>FiF</w:t>
            </w:r>
            <w:proofErr w:type="spellEnd"/>
            <w:r w:rsidRPr="00AA2D2B">
              <w:rPr>
                <w:rFonts w:ascii="Arial" w:hAnsi="Arial" w:cs="Arial"/>
                <w:b w:val="0"/>
                <w:bCs/>
                <w:sz w:val="24"/>
                <w:szCs w:val="24"/>
              </w:rPr>
              <w:t xml:space="preserve">). This fund supports children, young people and their parents/carers, providing specialist early intervention services for complex family needs.  </w:t>
            </w:r>
          </w:p>
          <w:p w14:paraId="2410306C" w14:textId="77777777" w:rsidR="00AA2D2B" w:rsidRPr="00AA2D2B" w:rsidRDefault="00AA2D2B" w:rsidP="00AA2D2B">
            <w:pPr>
              <w:spacing w:before="40" w:after="40"/>
              <w:rPr>
                <w:rFonts w:ascii="Arial" w:hAnsi="Arial" w:cs="Arial"/>
                <w:b w:val="0"/>
                <w:bCs/>
                <w:sz w:val="24"/>
                <w:szCs w:val="24"/>
              </w:rPr>
            </w:pPr>
          </w:p>
          <w:p w14:paraId="1C1E624C" w14:textId="77777777" w:rsidR="00AA2D2B" w:rsidRPr="00AA2D2B" w:rsidRDefault="00AA2D2B" w:rsidP="00AA2D2B">
            <w:pPr>
              <w:spacing w:before="40" w:after="40"/>
              <w:rPr>
                <w:rFonts w:ascii="Arial" w:hAnsi="Arial" w:cs="Arial"/>
                <w:b w:val="0"/>
                <w:bCs/>
                <w:sz w:val="24"/>
                <w:szCs w:val="24"/>
              </w:rPr>
            </w:pPr>
            <w:r w:rsidRPr="00AA2D2B">
              <w:rPr>
                <w:rFonts w:ascii="Arial" w:hAnsi="Arial" w:cs="Arial"/>
                <w:b w:val="0"/>
                <w:bCs/>
                <w:sz w:val="24"/>
                <w:szCs w:val="24"/>
              </w:rPr>
              <w:t>Further, as part of the early intervention response to COVID-19, some additional services have been commissioned within the same broad offer (FIF-</w:t>
            </w:r>
            <w:proofErr w:type="spellStart"/>
            <w:r w:rsidRPr="00AA2D2B">
              <w:rPr>
                <w:rFonts w:ascii="Arial" w:hAnsi="Arial" w:cs="Arial"/>
                <w:b w:val="0"/>
                <w:bCs/>
                <w:sz w:val="24"/>
                <w:szCs w:val="24"/>
              </w:rPr>
              <w:t>Xtra</w:t>
            </w:r>
            <w:proofErr w:type="spellEnd"/>
            <w:r w:rsidRPr="00AA2D2B">
              <w:rPr>
                <w:rFonts w:ascii="Arial" w:hAnsi="Arial" w:cs="Arial"/>
                <w:b w:val="0"/>
                <w:bCs/>
                <w:sz w:val="24"/>
                <w:szCs w:val="24"/>
              </w:rPr>
              <w:t xml:space="preserve"> Services) to support children and families experiencing anxiety specifically due to COVID-19. These services are at a value of £120,000 from June 2020 – June 2021.</w:t>
            </w:r>
          </w:p>
          <w:p w14:paraId="54ADC6E3" w14:textId="77777777" w:rsidR="00AA2D2B" w:rsidRPr="00AA2D2B" w:rsidRDefault="00AA2D2B" w:rsidP="00AA2D2B">
            <w:pPr>
              <w:spacing w:before="40" w:after="40"/>
              <w:rPr>
                <w:rFonts w:ascii="Arial" w:hAnsi="Arial" w:cs="Arial"/>
                <w:b w:val="0"/>
                <w:bCs/>
                <w:sz w:val="24"/>
                <w:szCs w:val="24"/>
              </w:rPr>
            </w:pPr>
          </w:p>
          <w:p w14:paraId="29B3E508" w14:textId="77777777" w:rsidR="00AA2D2B" w:rsidRPr="00AA2D2B" w:rsidRDefault="00AA2D2B" w:rsidP="00AA2D2B">
            <w:pPr>
              <w:spacing w:before="40" w:after="40"/>
              <w:rPr>
                <w:rFonts w:ascii="Arial" w:hAnsi="Arial" w:cs="Arial"/>
                <w:b w:val="0"/>
                <w:bCs/>
                <w:sz w:val="24"/>
                <w:szCs w:val="24"/>
              </w:rPr>
            </w:pPr>
            <w:r w:rsidRPr="00AA2D2B">
              <w:rPr>
                <w:rFonts w:ascii="Arial" w:hAnsi="Arial" w:cs="Arial"/>
                <w:b w:val="0"/>
                <w:bCs/>
                <w:sz w:val="24"/>
                <w:szCs w:val="24"/>
              </w:rPr>
              <w:t>The business case requires that a percentage of service users are tracked over a five-year period, to show that these services prevent intervention from statutory services.</w:t>
            </w:r>
            <w:r w:rsidRPr="00AA2D2B">
              <w:rPr>
                <w:rFonts w:ascii="Arial" w:eastAsia="Times New Roman" w:hAnsi="Arial"/>
                <w:b w:val="0"/>
                <w:bCs/>
                <w:color w:val="000000" w:themeColor="text1"/>
                <w:sz w:val="24"/>
                <w:szCs w:val="24"/>
                <w:lang w:eastAsia="en-GB"/>
              </w:rPr>
              <w:t xml:space="preserve"> </w:t>
            </w:r>
            <w:r w:rsidRPr="00AA2D2B">
              <w:rPr>
                <w:rFonts w:ascii="Arial" w:hAnsi="Arial" w:cs="Arial"/>
                <w:b w:val="0"/>
                <w:bCs/>
                <w:sz w:val="24"/>
                <w:szCs w:val="24"/>
              </w:rPr>
              <w:t>The purpose of the evaluation is to build on the existing evidence base that Early Help works, specifically to:</w:t>
            </w:r>
          </w:p>
          <w:p w14:paraId="75663354" w14:textId="77777777" w:rsidR="00AA2D2B" w:rsidRPr="00AA2D2B" w:rsidRDefault="00AA2D2B" w:rsidP="00AA2D2B">
            <w:pPr>
              <w:numPr>
                <w:ilvl w:val="0"/>
                <w:numId w:val="12"/>
              </w:numPr>
              <w:spacing w:before="40" w:after="40"/>
              <w:rPr>
                <w:rFonts w:ascii="Arial" w:hAnsi="Arial" w:cs="Arial"/>
                <w:b w:val="0"/>
                <w:bCs/>
                <w:sz w:val="24"/>
                <w:szCs w:val="24"/>
              </w:rPr>
            </w:pPr>
            <w:r w:rsidRPr="00AA2D2B">
              <w:rPr>
                <w:rFonts w:ascii="Arial" w:hAnsi="Arial" w:cs="Arial"/>
                <w:b w:val="0"/>
                <w:bCs/>
                <w:sz w:val="24"/>
                <w:szCs w:val="24"/>
              </w:rPr>
              <w:t>Evidence what Early Help works, for who and why</w:t>
            </w:r>
          </w:p>
          <w:p w14:paraId="6CCC0C08" w14:textId="77777777" w:rsidR="00AA2D2B" w:rsidRPr="00AA2D2B" w:rsidRDefault="00AA2D2B" w:rsidP="00AA2D2B">
            <w:pPr>
              <w:numPr>
                <w:ilvl w:val="0"/>
                <w:numId w:val="12"/>
              </w:numPr>
              <w:spacing w:before="40" w:after="40"/>
              <w:rPr>
                <w:rFonts w:ascii="Arial" w:hAnsi="Arial" w:cs="Arial"/>
                <w:b w:val="0"/>
                <w:bCs/>
                <w:sz w:val="24"/>
                <w:szCs w:val="24"/>
              </w:rPr>
            </w:pPr>
            <w:r w:rsidRPr="00AA2D2B">
              <w:rPr>
                <w:rFonts w:ascii="Arial" w:hAnsi="Arial" w:cs="Arial"/>
                <w:b w:val="0"/>
                <w:bCs/>
                <w:sz w:val="24"/>
                <w:szCs w:val="24"/>
              </w:rPr>
              <w:t>Quantify the individual outcomes achieved and evidence their sustainability</w:t>
            </w:r>
          </w:p>
          <w:p w14:paraId="6AF68C1C" w14:textId="77777777" w:rsidR="00AA2D2B" w:rsidRPr="00AA2D2B" w:rsidRDefault="00AA2D2B" w:rsidP="00AA2D2B">
            <w:pPr>
              <w:numPr>
                <w:ilvl w:val="0"/>
                <w:numId w:val="12"/>
              </w:numPr>
              <w:spacing w:before="40" w:after="40"/>
              <w:rPr>
                <w:rFonts w:ascii="Arial" w:hAnsi="Arial" w:cs="Arial"/>
                <w:b w:val="0"/>
                <w:bCs/>
                <w:sz w:val="24"/>
                <w:szCs w:val="24"/>
              </w:rPr>
            </w:pPr>
            <w:r w:rsidRPr="00AA2D2B">
              <w:rPr>
                <w:rFonts w:ascii="Arial" w:hAnsi="Arial" w:cs="Arial"/>
                <w:b w:val="0"/>
                <w:bCs/>
                <w:sz w:val="24"/>
                <w:szCs w:val="24"/>
              </w:rPr>
              <w:t>Identify reduction in demand for more costly statutory intervention</w:t>
            </w:r>
          </w:p>
          <w:p w14:paraId="0F69FC18" w14:textId="77777777" w:rsidR="00AA2D2B" w:rsidRPr="00AA2D2B" w:rsidRDefault="00AA2D2B" w:rsidP="00AA2D2B">
            <w:pPr>
              <w:numPr>
                <w:ilvl w:val="0"/>
                <w:numId w:val="12"/>
              </w:numPr>
              <w:spacing w:before="40" w:after="40"/>
              <w:rPr>
                <w:rFonts w:ascii="Arial" w:hAnsi="Arial" w:cs="Arial"/>
                <w:b w:val="0"/>
                <w:bCs/>
                <w:sz w:val="24"/>
                <w:szCs w:val="24"/>
              </w:rPr>
            </w:pPr>
            <w:r w:rsidRPr="00AA2D2B">
              <w:rPr>
                <w:rFonts w:ascii="Arial" w:hAnsi="Arial" w:cs="Arial"/>
                <w:b w:val="0"/>
                <w:bCs/>
                <w:sz w:val="24"/>
                <w:szCs w:val="24"/>
              </w:rPr>
              <w:t>Identify and estimate costs avoided through early intervention</w:t>
            </w:r>
          </w:p>
          <w:p w14:paraId="6FF8EA2D" w14:textId="77777777" w:rsidR="00AA2D2B" w:rsidRPr="00AA2D2B" w:rsidRDefault="00AA2D2B" w:rsidP="00AA2D2B">
            <w:pPr>
              <w:numPr>
                <w:ilvl w:val="0"/>
                <w:numId w:val="12"/>
              </w:numPr>
              <w:spacing w:before="40" w:after="40"/>
              <w:rPr>
                <w:rFonts w:ascii="Arial" w:hAnsi="Arial" w:cs="Arial"/>
                <w:b w:val="0"/>
                <w:bCs/>
                <w:sz w:val="24"/>
                <w:szCs w:val="24"/>
              </w:rPr>
            </w:pPr>
            <w:r w:rsidRPr="00AA2D2B">
              <w:rPr>
                <w:rFonts w:ascii="Arial" w:hAnsi="Arial" w:cs="Arial"/>
                <w:b w:val="0"/>
                <w:bCs/>
                <w:sz w:val="24"/>
                <w:szCs w:val="24"/>
              </w:rPr>
              <w:t>Identify and estimate benefits of social return on investment</w:t>
            </w:r>
          </w:p>
          <w:p w14:paraId="3B3CA8CC" w14:textId="77777777" w:rsidR="00AA2D2B" w:rsidRPr="00AA2D2B" w:rsidRDefault="00AA2D2B" w:rsidP="00AA2D2B">
            <w:pPr>
              <w:spacing w:before="40" w:after="40"/>
              <w:rPr>
                <w:rFonts w:ascii="Arial" w:hAnsi="Arial" w:cs="Arial"/>
                <w:b w:val="0"/>
                <w:bCs/>
                <w:sz w:val="24"/>
                <w:szCs w:val="24"/>
              </w:rPr>
            </w:pPr>
          </w:p>
          <w:p w14:paraId="21247C0B" w14:textId="77777777" w:rsidR="00AA2D2B" w:rsidRPr="00AA2D2B" w:rsidRDefault="00AA2D2B" w:rsidP="00AA2D2B">
            <w:pPr>
              <w:spacing w:before="40" w:after="40"/>
              <w:rPr>
                <w:rFonts w:ascii="Arial" w:hAnsi="Arial" w:cs="Arial"/>
                <w:b w:val="0"/>
                <w:bCs/>
                <w:sz w:val="24"/>
                <w:szCs w:val="24"/>
              </w:rPr>
            </w:pPr>
            <w:r w:rsidRPr="00AA2D2B">
              <w:rPr>
                <w:rFonts w:ascii="Arial" w:hAnsi="Arial" w:cs="Arial"/>
                <w:b w:val="0"/>
                <w:bCs/>
                <w:sz w:val="24"/>
                <w:szCs w:val="24"/>
              </w:rPr>
              <w:t>ECC require information relating to individuals to show if there is a use of statutory services including:</w:t>
            </w:r>
          </w:p>
          <w:p w14:paraId="0FB774FC" w14:textId="77777777" w:rsidR="00AA2D2B" w:rsidRPr="00AA2D2B" w:rsidRDefault="00AA2D2B" w:rsidP="00AA2D2B">
            <w:pPr>
              <w:spacing w:before="40" w:after="40"/>
              <w:rPr>
                <w:rFonts w:ascii="Arial" w:hAnsi="Arial" w:cs="Arial"/>
                <w:b w:val="0"/>
                <w:bCs/>
                <w:sz w:val="24"/>
                <w:szCs w:val="24"/>
              </w:rPr>
            </w:pPr>
            <w:r w:rsidRPr="00AA2D2B">
              <w:rPr>
                <w:rFonts w:ascii="Arial" w:hAnsi="Arial" w:cs="Arial"/>
                <w:b w:val="0"/>
                <w:bCs/>
                <w:sz w:val="24"/>
                <w:szCs w:val="24"/>
              </w:rPr>
              <w:t xml:space="preserve">Emotional Wellbeing and Mental Health Service (EWMHS) </w:t>
            </w:r>
          </w:p>
          <w:p w14:paraId="0C0FA9DD" w14:textId="77777777" w:rsidR="00AA2D2B" w:rsidRPr="00AA2D2B" w:rsidRDefault="00AA2D2B" w:rsidP="00AA2D2B">
            <w:pPr>
              <w:spacing w:before="40" w:after="40"/>
              <w:rPr>
                <w:rFonts w:ascii="Arial" w:hAnsi="Arial" w:cs="Arial"/>
                <w:b w:val="0"/>
                <w:bCs/>
                <w:sz w:val="24"/>
                <w:szCs w:val="24"/>
              </w:rPr>
            </w:pPr>
            <w:r w:rsidRPr="00AA2D2B">
              <w:rPr>
                <w:rFonts w:ascii="Arial" w:hAnsi="Arial" w:cs="Arial"/>
                <w:b w:val="0"/>
                <w:bCs/>
                <w:sz w:val="24"/>
                <w:szCs w:val="24"/>
              </w:rPr>
              <w:t>Family Solutions (ECC)</w:t>
            </w:r>
          </w:p>
          <w:p w14:paraId="4FF42D3F" w14:textId="77777777" w:rsidR="00AA2D2B" w:rsidRPr="00AA2D2B" w:rsidRDefault="00AA2D2B" w:rsidP="00AA2D2B">
            <w:pPr>
              <w:spacing w:before="40" w:after="40"/>
              <w:rPr>
                <w:rFonts w:ascii="Arial" w:hAnsi="Arial" w:cs="Arial"/>
                <w:b w:val="0"/>
                <w:bCs/>
                <w:sz w:val="24"/>
                <w:szCs w:val="24"/>
              </w:rPr>
            </w:pPr>
            <w:r w:rsidRPr="00AA2D2B">
              <w:rPr>
                <w:rFonts w:ascii="Arial" w:hAnsi="Arial" w:cs="Arial"/>
                <w:b w:val="0"/>
                <w:bCs/>
                <w:sz w:val="24"/>
                <w:szCs w:val="24"/>
              </w:rPr>
              <w:t>Youth Offending Teams (YOTS) (ECC)</w:t>
            </w:r>
          </w:p>
          <w:p w14:paraId="657898EF" w14:textId="77777777" w:rsidR="00AA2D2B" w:rsidRPr="00AA2D2B" w:rsidRDefault="00AA2D2B" w:rsidP="00AA2D2B">
            <w:pPr>
              <w:spacing w:before="40" w:after="40"/>
              <w:rPr>
                <w:rFonts w:ascii="Arial" w:hAnsi="Arial" w:cs="Arial"/>
                <w:b w:val="0"/>
                <w:bCs/>
                <w:sz w:val="24"/>
                <w:szCs w:val="24"/>
              </w:rPr>
            </w:pPr>
            <w:r w:rsidRPr="00AA2D2B">
              <w:rPr>
                <w:rFonts w:ascii="Arial" w:hAnsi="Arial" w:cs="Arial"/>
                <w:b w:val="0"/>
                <w:bCs/>
                <w:sz w:val="24"/>
                <w:szCs w:val="24"/>
              </w:rPr>
              <w:t>Education Welfare Services (ECC)</w:t>
            </w:r>
          </w:p>
          <w:p w14:paraId="5E8FFADD" w14:textId="77777777" w:rsidR="00AA2D2B" w:rsidRPr="00AA2D2B" w:rsidRDefault="00AA2D2B" w:rsidP="00AA2D2B">
            <w:pPr>
              <w:spacing w:before="40" w:after="40"/>
              <w:rPr>
                <w:rFonts w:ascii="Arial" w:hAnsi="Arial" w:cs="Arial"/>
                <w:b w:val="0"/>
                <w:bCs/>
                <w:sz w:val="24"/>
                <w:szCs w:val="24"/>
              </w:rPr>
            </w:pPr>
            <w:r w:rsidRPr="00AA2D2B">
              <w:rPr>
                <w:rFonts w:ascii="Arial" w:hAnsi="Arial" w:cs="Arial"/>
                <w:b w:val="0"/>
                <w:bCs/>
                <w:sz w:val="24"/>
                <w:szCs w:val="24"/>
              </w:rPr>
              <w:t>Social Care (ECC)</w:t>
            </w:r>
          </w:p>
          <w:p w14:paraId="5497DBA8" w14:textId="77777777" w:rsidR="00AA2D2B" w:rsidRPr="00AA2D2B" w:rsidRDefault="00AA2D2B" w:rsidP="00AA2D2B">
            <w:pPr>
              <w:rPr>
                <w:rFonts w:ascii="Arial" w:hAnsi="Arial" w:cs="Arial"/>
                <w:b w:val="0"/>
                <w:bCs/>
                <w:sz w:val="24"/>
                <w:szCs w:val="24"/>
              </w:rPr>
            </w:pPr>
          </w:p>
          <w:p w14:paraId="60D2A108" w14:textId="77777777" w:rsidR="00AA2D2B" w:rsidRDefault="00AA2D2B" w:rsidP="00AA2D2B">
            <w:pPr>
              <w:rPr>
                <w:rFonts w:ascii="Arial" w:hAnsi="Arial" w:cs="Arial"/>
                <w:b w:val="0"/>
                <w:bCs/>
                <w:sz w:val="24"/>
                <w:szCs w:val="24"/>
              </w:rPr>
            </w:pPr>
            <w:r w:rsidRPr="00AA2D2B">
              <w:rPr>
                <w:rFonts w:ascii="Arial" w:hAnsi="Arial" w:cs="Arial"/>
                <w:b w:val="0"/>
                <w:bCs/>
                <w:sz w:val="24"/>
                <w:szCs w:val="24"/>
              </w:rPr>
              <w:t xml:space="preserve">The learning captured by the evaluation will be used to inform future commissioning activities and to evidence the case for greater investment in Early Help both in Essex and nationally. This will not be used for decision making about individual service users. </w:t>
            </w:r>
          </w:p>
          <w:p w14:paraId="2035E146" w14:textId="77777777" w:rsidR="004D2540" w:rsidRDefault="004D2540" w:rsidP="00AA2D2B">
            <w:pPr>
              <w:rPr>
                <w:rFonts w:ascii="Arial" w:hAnsi="Arial" w:cs="Arial"/>
                <w:b w:val="0"/>
                <w:bCs/>
                <w:sz w:val="24"/>
                <w:szCs w:val="24"/>
              </w:rPr>
            </w:pPr>
          </w:p>
          <w:p w14:paraId="1F56AD14" w14:textId="6F3BA659" w:rsidR="00A35770" w:rsidRPr="00A35770" w:rsidRDefault="004D2540" w:rsidP="00A35770">
            <w:pPr>
              <w:rPr>
                <w:rFonts w:ascii="Arial" w:hAnsi="Arial" w:cs="Arial"/>
                <w:b w:val="0"/>
                <w:bCs/>
                <w:sz w:val="24"/>
                <w:szCs w:val="24"/>
              </w:rPr>
            </w:pPr>
            <w:r w:rsidRPr="004D2540">
              <w:rPr>
                <w:rFonts w:ascii="Arial" w:hAnsi="Arial" w:cs="Arial"/>
                <w:b w:val="0"/>
                <w:bCs/>
                <w:sz w:val="24"/>
                <w:szCs w:val="24"/>
              </w:rPr>
              <w:lastRenderedPageBreak/>
              <w:t>Individuals will provide consent to take part in this evaluation, all participants will be provided with information about</w:t>
            </w:r>
            <w:r>
              <w:rPr>
                <w:rFonts w:ascii="Arial" w:hAnsi="Arial" w:cs="Arial"/>
                <w:sz w:val="24"/>
                <w:szCs w:val="24"/>
              </w:rPr>
              <w:t xml:space="preserve"> </w:t>
            </w:r>
            <w:r w:rsidRPr="004D2540">
              <w:rPr>
                <w:rFonts w:ascii="Arial" w:hAnsi="Arial" w:cs="Arial"/>
                <w:b w:val="0"/>
                <w:bCs/>
                <w:sz w:val="24"/>
                <w:szCs w:val="24"/>
              </w:rPr>
              <w:t xml:space="preserve">what information will be collected and that their services will be tracked over the specified period. </w:t>
            </w:r>
            <w:r w:rsidR="007E2329">
              <w:rPr>
                <w:rFonts w:ascii="Arial" w:hAnsi="Arial" w:cs="Arial"/>
                <w:b w:val="0"/>
                <w:bCs/>
                <w:sz w:val="24"/>
                <w:szCs w:val="24"/>
              </w:rPr>
              <w:t xml:space="preserve"> </w:t>
            </w:r>
            <w:r w:rsidR="00A35770" w:rsidRPr="00A35770">
              <w:rPr>
                <w:rFonts w:ascii="Arial" w:hAnsi="Arial" w:cs="Arial"/>
                <w:b w:val="0"/>
                <w:bCs/>
                <w:sz w:val="24"/>
                <w:szCs w:val="24"/>
              </w:rPr>
              <w:t xml:space="preserve">If an individual does not consent this will not affect the </w:t>
            </w:r>
            <w:proofErr w:type="gramStart"/>
            <w:r w:rsidR="00A35770" w:rsidRPr="00A35770">
              <w:rPr>
                <w:rFonts w:ascii="Arial" w:hAnsi="Arial" w:cs="Arial"/>
                <w:b w:val="0"/>
                <w:bCs/>
                <w:sz w:val="24"/>
                <w:szCs w:val="24"/>
              </w:rPr>
              <w:t>service</w:t>
            </w:r>
            <w:proofErr w:type="gramEnd"/>
            <w:r w:rsidR="00A35770" w:rsidRPr="00A35770">
              <w:rPr>
                <w:rFonts w:ascii="Arial" w:hAnsi="Arial" w:cs="Arial"/>
                <w:b w:val="0"/>
                <w:bCs/>
                <w:sz w:val="24"/>
                <w:szCs w:val="24"/>
              </w:rPr>
              <w:t xml:space="preserve"> they receive and individuals have the right to withdraw their consent at any time. A consent process is in place which includes how individuals requesting to withdraw their consent is managed and acted upon to stop processing personal data for those individuals.   </w:t>
            </w:r>
          </w:p>
          <w:p w14:paraId="5B3A8B97" w14:textId="77777777" w:rsidR="00A35770" w:rsidRPr="00A35770" w:rsidRDefault="00A35770" w:rsidP="00A35770">
            <w:pPr>
              <w:spacing w:before="40" w:after="40"/>
              <w:rPr>
                <w:rFonts w:ascii="Arial" w:hAnsi="Arial" w:cs="Arial"/>
                <w:b w:val="0"/>
                <w:bCs/>
                <w:sz w:val="24"/>
                <w:szCs w:val="24"/>
              </w:rPr>
            </w:pPr>
          </w:p>
          <w:p w14:paraId="487F9937" w14:textId="4C10AE90" w:rsidR="00575033" w:rsidRPr="007E2329" w:rsidRDefault="00A35770" w:rsidP="007E2329">
            <w:pPr>
              <w:spacing w:before="40" w:after="40"/>
              <w:rPr>
                <w:rFonts w:ascii="Arial" w:hAnsi="Arial" w:cs="Arial"/>
                <w:b w:val="0"/>
                <w:bCs/>
                <w:sz w:val="24"/>
                <w:szCs w:val="24"/>
              </w:rPr>
            </w:pPr>
            <w:r w:rsidRPr="00A35770">
              <w:rPr>
                <w:rFonts w:ascii="Arial" w:hAnsi="Arial" w:cs="Arial"/>
                <w:b w:val="0"/>
                <w:bCs/>
                <w:sz w:val="24"/>
                <w:szCs w:val="24"/>
              </w:rPr>
              <w:t xml:space="preserve">The tracking will begin May 2020 with information being gathered every three months until March 2027. The individuals Name and Date of Birth will be shared with the statutory service to gather </w:t>
            </w:r>
            <w:proofErr w:type="gramStart"/>
            <w:r w:rsidRPr="00A35770">
              <w:rPr>
                <w:rFonts w:ascii="Arial" w:hAnsi="Arial" w:cs="Arial"/>
                <w:b w:val="0"/>
                <w:bCs/>
                <w:sz w:val="24"/>
                <w:szCs w:val="24"/>
              </w:rPr>
              <w:t>whether or not</w:t>
            </w:r>
            <w:proofErr w:type="gramEnd"/>
            <w:r w:rsidRPr="00A35770">
              <w:rPr>
                <w:rFonts w:ascii="Arial" w:hAnsi="Arial" w:cs="Arial"/>
                <w:b w:val="0"/>
                <w:bCs/>
                <w:sz w:val="24"/>
                <w:szCs w:val="24"/>
              </w:rPr>
              <w:t xml:space="preserve"> people who have had a </w:t>
            </w:r>
            <w:proofErr w:type="spellStart"/>
            <w:r w:rsidRPr="00A35770">
              <w:rPr>
                <w:rFonts w:ascii="Arial" w:hAnsi="Arial" w:cs="Arial"/>
                <w:b w:val="0"/>
                <w:bCs/>
                <w:sz w:val="24"/>
                <w:szCs w:val="24"/>
              </w:rPr>
              <w:t>FiF</w:t>
            </w:r>
            <w:proofErr w:type="spellEnd"/>
            <w:r w:rsidRPr="00A35770">
              <w:rPr>
                <w:rFonts w:ascii="Arial" w:hAnsi="Arial" w:cs="Arial"/>
                <w:b w:val="0"/>
                <w:bCs/>
                <w:sz w:val="24"/>
                <w:szCs w:val="24"/>
              </w:rPr>
              <w:t xml:space="preserve"> intervention have been referred to a statutory service(s). </w:t>
            </w:r>
          </w:p>
          <w:p w14:paraId="6DA034FC" w14:textId="566E5434" w:rsidR="006010FD" w:rsidRDefault="006010FD" w:rsidP="006010FD"/>
        </w:tc>
      </w:tr>
    </w:tbl>
    <w:p w14:paraId="2DADF8B1" w14:textId="1D11487B" w:rsidR="00594131" w:rsidRDefault="00594131" w:rsidP="006010FD">
      <w:r w:rsidRPr="00B530EC">
        <w:rPr>
          <w:rStyle w:val="Hyperlink"/>
          <w:color w:val="auto"/>
          <w:sz w:val="52"/>
          <w:szCs w:val="24"/>
        </w:rPr>
        <w:lastRenderedPageBreak/>
        <w:t>2 – Information to be shared</w:t>
      </w:r>
    </w:p>
    <w:p w14:paraId="79DDBD31" w14:textId="11DE6E9F" w:rsidR="00594131" w:rsidRDefault="003D1BCC" w:rsidP="00D15645">
      <w:pPr>
        <w:pStyle w:val="Heading1"/>
        <w:rPr>
          <w:rStyle w:val="Hyperlink"/>
          <w:color w:val="auto"/>
          <w:sz w:val="52"/>
          <w:szCs w:val="24"/>
        </w:rPr>
      </w:pPr>
      <w:r>
        <w:rPr>
          <w:noProof/>
        </w:rPr>
        <mc:AlternateContent>
          <mc:Choice Requires="wps">
            <w:drawing>
              <wp:inline distT="0" distB="0" distL="0" distR="0" wp14:anchorId="328C0599" wp14:editId="59E9DE54">
                <wp:extent cx="8848090" cy="1542197"/>
                <wp:effectExtent l="0" t="0" r="10160" b="20320"/>
                <wp:docPr id="1" name="Text Box 1"/>
                <wp:cNvGraphicFramePr/>
                <a:graphic xmlns:a="http://schemas.openxmlformats.org/drawingml/2006/main">
                  <a:graphicData uri="http://schemas.microsoft.com/office/word/2010/wordprocessingShape">
                    <wps:wsp>
                      <wps:cNvSpPr txBox="1"/>
                      <wps:spPr>
                        <a:xfrm>
                          <a:off x="0" y="0"/>
                          <a:ext cx="8848090" cy="1542197"/>
                        </a:xfrm>
                        <a:prstGeom prst="rect">
                          <a:avLst/>
                        </a:prstGeom>
                        <a:noFill/>
                        <a:ln w="6350">
                          <a:solidFill>
                            <a:prstClr val="black"/>
                          </a:solidFill>
                        </a:ln>
                      </wps:spPr>
                      <wps:txbx>
                        <w:txbxContent>
                          <w:p w14:paraId="319A521A" w14:textId="44F6DE2F" w:rsidR="003D1BCC" w:rsidRPr="00D15645" w:rsidRDefault="00B74BA0" w:rsidP="00401EA8">
                            <w:pPr>
                              <w:rPr>
                                <w:rFonts w:ascii="Arial" w:hAnsi="Arial" w:cs="Arial"/>
                                <w:b/>
                                <w:bCs/>
                              </w:rPr>
                            </w:pPr>
                            <w:r w:rsidRPr="00D15645">
                              <w:rPr>
                                <w:rFonts w:ascii="Arial" w:hAnsi="Arial" w:cs="Arial"/>
                                <w:b/>
                                <w:bCs/>
                              </w:rPr>
                              <w:t>Essex County Council will share:</w:t>
                            </w:r>
                          </w:p>
                          <w:p w14:paraId="6EE225D7" w14:textId="30CB546B" w:rsidR="00B74BA0" w:rsidRPr="00D15645" w:rsidRDefault="00B74BA0" w:rsidP="00401EA8">
                            <w:pPr>
                              <w:rPr>
                                <w:rFonts w:ascii="Arial" w:hAnsi="Arial" w:cs="Arial"/>
                              </w:rPr>
                            </w:pPr>
                            <w:r w:rsidRPr="00D15645">
                              <w:rPr>
                                <w:rFonts w:ascii="Arial" w:hAnsi="Arial" w:cs="Arial"/>
                              </w:rPr>
                              <w:t>Full Name and Date of Birth</w:t>
                            </w:r>
                          </w:p>
                          <w:p w14:paraId="560F0EF8" w14:textId="40C1C40E" w:rsidR="00B74BA0" w:rsidRPr="00D15645" w:rsidRDefault="00B74BA0" w:rsidP="00401EA8">
                            <w:pPr>
                              <w:rPr>
                                <w:rFonts w:ascii="Arial" w:hAnsi="Arial" w:cs="Arial"/>
                                <w:b/>
                                <w:bCs/>
                              </w:rPr>
                            </w:pPr>
                            <w:r w:rsidRPr="00D15645">
                              <w:rPr>
                                <w:rFonts w:ascii="Arial" w:hAnsi="Arial" w:cs="Arial"/>
                                <w:b/>
                                <w:bCs/>
                              </w:rPr>
                              <w:t>Emotional Wellbeing and Mental Health Service (EWMHS) will share:</w:t>
                            </w:r>
                          </w:p>
                          <w:p w14:paraId="48D729FA" w14:textId="30BF02CC" w:rsidR="00B74BA0" w:rsidRPr="00D15645" w:rsidRDefault="00B74BA0" w:rsidP="00401EA8">
                            <w:pPr>
                              <w:rPr>
                                <w:rFonts w:ascii="Arial" w:hAnsi="Arial" w:cs="Arial"/>
                              </w:rPr>
                            </w:pPr>
                            <w:r w:rsidRPr="00D15645">
                              <w:rPr>
                                <w:rFonts w:ascii="Arial" w:hAnsi="Arial" w:cs="Arial"/>
                              </w:rPr>
                              <w:t>Whether or not people who have had a FiF or FIF-Xtra Intervention</w:t>
                            </w:r>
                            <w:r w:rsidR="00D15645" w:rsidRPr="00D15645">
                              <w:rPr>
                                <w:rFonts w:ascii="Arial" w:hAnsi="Arial" w:cs="Arial"/>
                              </w:rPr>
                              <w:t xml:space="preserve"> have, after that intervention, been referred tp a statutory servie ce(s).  Why the individual was referred and how long they used the service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8C0599" id="_x0000_t202" coordsize="21600,21600" o:spt="202" path="m,l,21600r21600,l21600,xe">
                <v:stroke joinstyle="miter"/>
                <v:path gradientshapeok="t" o:connecttype="rect"/>
              </v:shapetype>
              <v:shape id="Text Box 1" o:spid="_x0000_s1026" type="#_x0000_t202" style="width:696.7pt;height:1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" filled="f" strokeweight=".5pt">
                <v:textbox>
                  <w:txbxContent>
                    <w:p w14:paraId="319A521A" w14:textId="44F6DE2F" w:rsidR="003D1BCC" w:rsidRPr="00D15645" w:rsidRDefault="00B74BA0" w:rsidP="00401EA8">
                      <w:pPr>
                        <w:rPr>
                          <w:rFonts w:ascii="Arial" w:hAnsi="Arial" w:cs="Arial"/>
                          <w:b/>
                          <w:bCs/>
                        </w:rPr>
                      </w:pPr>
                      <w:r w:rsidRPr="00D15645">
                        <w:rPr>
                          <w:rFonts w:ascii="Arial" w:hAnsi="Arial" w:cs="Arial"/>
                          <w:b/>
                          <w:bCs/>
                        </w:rPr>
                        <w:t>Essex County Council will share:</w:t>
                      </w:r>
                    </w:p>
                    <w:p w14:paraId="6EE225D7" w14:textId="30CB546B" w:rsidR="00B74BA0" w:rsidRPr="00D15645" w:rsidRDefault="00B74BA0" w:rsidP="00401EA8">
                      <w:pPr>
                        <w:rPr>
                          <w:rFonts w:ascii="Arial" w:hAnsi="Arial" w:cs="Arial"/>
                        </w:rPr>
                      </w:pPr>
                      <w:r w:rsidRPr="00D15645">
                        <w:rPr>
                          <w:rFonts w:ascii="Arial" w:hAnsi="Arial" w:cs="Arial"/>
                        </w:rPr>
                        <w:t>Full Name and Date of Birth</w:t>
                      </w:r>
                    </w:p>
                    <w:p w14:paraId="560F0EF8" w14:textId="40C1C40E" w:rsidR="00B74BA0" w:rsidRPr="00D15645" w:rsidRDefault="00B74BA0" w:rsidP="00401EA8">
                      <w:pPr>
                        <w:rPr>
                          <w:rFonts w:ascii="Arial" w:hAnsi="Arial" w:cs="Arial"/>
                          <w:b/>
                          <w:bCs/>
                        </w:rPr>
                      </w:pPr>
                      <w:r w:rsidRPr="00D15645">
                        <w:rPr>
                          <w:rFonts w:ascii="Arial" w:hAnsi="Arial" w:cs="Arial"/>
                          <w:b/>
                          <w:bCs/>
                        </w:rPr>
                        <w:t>Emotional Wellbeing and Mental Health Service (EWMHS) will share:</w:t>
                      </w:r>
                    </w:p>
                    <w:p w14:paraId="48D729FA" w14:textId="30BF02CC" w:rsidR="00B74BA0" w:rsidRPr="00D15645" w:rsidRDefault="00B74BA0" w:rsidP="00401EA8">
                      <w:pPr>
                        <w:rPr>
                          <w:rFonts w:ascii="Arial" w:hAnsi="Arial" w:cs="Arial"/>
                        </w:rPr>
                      </w:pPr>
                      <w:r w:rsidRPr="00D15645">
                        <w:rPr>
                          <w:rFonts w:ascii="Arial" w:hAnsi="Arial" w:cs="Arial"/>
                        </w:rPr>
                        <w:t xml:space="preserve">Whether or not people who have had a </w:t>
                      </w:r>
                      <w:proofErr w:type="spellStart"/>
                      <w:r w:rsidRPr="00D15645">
                        <w:rPr>
                          <w:rFonts w:ascii="Arial" w:hAnsi="Arial" w:cs="Arial"/>
                        </w:rPr>
                        <w:t>FiF</w:t>
                      </w:r>
                      <w:proofErr w:type="spellEnd"/>
                      <w:r w:rsidRPr="00D15645">
                        <w:rPr>
                          <w:rFonts w:ascii="Arial" w:hAnsi="Arial" w:cs="Arial"/>
                        </w:rPr>
                        <w:t xml:space="preserve"> or FIF-</w:t>
                      </w:r>
                      <w:proofErr w:type="spellStart"/>
                      <w:r w:rsidRPr="00D15645">
                        <w:rPr>
                          <w:rFonts w:ascii="Arial" w:hAnsi="Arial" w:cs="Arial"/>
                        </w:rPr>
                        <w:t>Xtra</w:t>
                      </w:r>
                      <w:proofErr w:type="spellEnd"/>
                      <w:r w:rsidRPr="00D15645">
                        <w:rPr>
                          <w:rFonts w:ascii="Arial" w:hAnsi="Arial" w:cs="Arial"/>
                        </w:rPr>
                        <w:t xml:space="preserve"> Intervention</w:t>
                      </w:r>
                      <w:r w:rsidR="00D15645" w:rsidRPr="00D15645">
                        <w:rPr>
                          <w:rFonts w:ascii="Arial" w:hAnsi="Arial" w:cs="Arial"/>
                        </w:rPr>
                        <w:t xml:space="preserve"> have, after that intervention, been referred </w:t>
                      </w:r>
                      <w:proofErr w:type="spellStart"/>
                      <w:r w:rsidR="00D15645" w:rsidRPr="00D15645">
                        <w:rPr>
                          <w:rFonts w:ascii="Arial" w:hAnsi="Arial" w:cs="Arial"/>
                        </w:rPr>
                        <w:t>tp</w:t>
                      </w:r>
                      <w:proofErr w:type="spellEnd"/>
                      <w:r w:rsidR="00D15645" w:rsidRPr="00D15645">
                        <w:rPr>
                          <w:rFonts w:ascii="Arial" w:hAnsi="Arial" w:cs="Arial"/>
                        </w:rPr>
                        <w:t xml:space="preserve"> a statutory </w:t>
                      </w:r>
                      <w:proofErr w:type="spellStart"/>
                      <w:r w:rsidR="00D15645" w:rsidRPr="00D15645">
                        <w:rPr>
                          <w:rFonts w:ascii="Arial" w:hAnsi="Arial" w:cs="Arial"/>
                        </w:rPr>
                        <w:t>servie</w:t>
                      </w:r>
                      <w:proofErr w:type="spellEnd"/>
                      <w:r w:rsidR="00D15645" w:rsidRPr="00D15645">
                        <w:rPr>
                          <w:rFonts w:ascii="Arial" w:hAnsi="Arial" w:cs="Arial"/>
                        </w:rPr>
                        <w:t xml:space="preserve"> </w:t>
                      </w:r>
                      <w:proofErr w:type="spellStart"/>
                      <w:r w:rsidR="00D15645" w:rsidRPr="00D15645">
                        <w:rPr>
                          <w:rFonts w:ascii="Arial" w:hAnsi="Arial" w:cs="Arial"/>
                        </w:rPr>
                        <w:t>ce</w:t>
                      </w:r>
                      <w:proofErr w:type="spellEnd"/>
                      <w:r w:rsidR="00D15645" w:rsidRPr="00D15645">
                        <w:rPr>
                          <w:rFonts w:ascii="Arial" w:hAnsi="Arial" w:cs="Arial"/>
                        </w:rPr>
                        <w:t>(s).  Why the individual was referred and how long they used the service for.</w:t>
                      </w:r>
                    </w:p>
                  </w:txbxContent>
                </v:textbox>
                <w10:anchorlock/>
              </v:shape>
            </w:pict>
          </mc:Fallback>
        </mc:AlternateContent>
      </w: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9351" w:type="dxa"/>
        <w:tblLayout w:type="fixed"/>
        <w:tblLook w:val="04A0" w:firstRow="1" w:lastRow="0" w:firstColumn="1" w:lastColumn="0" w:noHBand="0" w:noVBand="1"/>
      </w:tblPr>
      <w:tblGrid>
        <w:gridCol w:w="4106"/>
        <w:gridCol w:w="5245"/>
      </w:tblGrid>
      <w:tr w:rsidR="0025742E" w:rsidRPr="00D1534C" w14:paraId="4D6CDDFC" w14:textId="77777777" w:rsidTr="0025742E">
        <w:tc>
          <w:tcPr>
            <w:tcW w:w="4106" w:type="dxa"/>
            <w:shd w:val="clear" w:color="auto" w:fill="DBE5F1" w:themeFill="accent1" w:themeFillTint="33"/>
          </w:tcPr>
          <w:p w14:paraId="426E3723" w14:textId="77777777" w:rsidR="0025742E" w:rsidRPr="00D1534C" w:rsidRDefault="0025742E"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25742E" w:rsidRDefault="0025742E"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25742E" w:rsidRPr="00D1534C" w:rsidRDefault="0025742E"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 – if applicable)</w:t>
            </w:r>
          </w:p>
        </w:tc>
      </w:tr>
      <w:tr w:rsidR="0025742E" w:rsidRPr="00D1534C" w14:paraId="500239A2" w14:textId="77777777" w:rsidTr="0025742E">
        <w:trPr>
          <w:trHeight w:val="502"/>
        </w:trPr>
        <w:tc>
          <w:tcPr>
            <w:tcW w:w="4106" w:type="dxa"/>
          </w:tcPr>
          <w:p w14:paraId="648CEE8D" w14:textId="238C2808" w:rsidR="0025742E" w:rsidRPr="00D1534C" w:rsidRDefault="0025742E"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r w:rsidRPr="00EC0753">
              <w:rPr>
                <w:rFonts w:asciiTheme="minorHAnsi" w:hAnsiTheme="minorHAnsi" w:cs="Arial"/>
                <w:i/>
                <w:color w:val="000000" w:themeColor="text1"/>
                <w:sz w:val="24"/>
                <w:highlight w:val="yellow"/>
              </w:rPr>
              <w:t>[please</w:t>
            </w:r>
            <w:r>
              <w:rPr>
                <w:rFonts w:asciiTheme="minorHAnsi" w:hAnsiTheme="minorHAnsi" w:cs="Arial"/>
                <w:i/>
                <w:color w:val="000000" w:themeColor="text1"/>
                <w:sz w:val="24"/>
                <w:highlight w:val="yellow"/>
              </w:rPr>
              <w:t xml:space="preserve"> </w:t>
            </w:r>
            <w:r w:rsidRPr="00EC0753">
              <w:rPr>
                <w:rFonts w:asciiTheme="minorHAnsi" w:hAnsiTheme="minorHAnsi" w:cs="Arial"/>
                <w:i/>
                <w:color w:val="000000" w:themeColor="text1"/>
                <w:sz w:val="24"/>
                <w:highlight w:val="yellow"/>
              </w:rPr>
              <w:t xml:space="preserve">click </w:t>
            </w:r>
            <w:r>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c>
          <w:tcPr>
            <w:tcW w:w="5245" w:type="dxa"/>
          </w:tcPr>
          <w:p w14:paraId="0DA8878B" w14:textId="4CEF91D2" w:rsidR="0025742E" w:rsidRPr="00D1534C" w:rsidRDefault="0025742E"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r w:rsidRPr="00EC0753">
              <w:rPr>
                <w:rFonts w:asciiTheme="minorHAnsi" w:hAnsiTheme="minorHAnsi" w:cs="Arial"/>
                <w:i/>
                <w:color w:val="000000" w:themeColor="text1"/>
                <w:sz w:val="24"/>
                <w:highlight w:val="yellow"/>
              </w:rPr>
              <w:t xml:space="preserve">[please click </w:t>
            </w:r>
            <w:r>
              <w:rPr>
                <w:rFonts w:asciiTheme="minorHAnsi" w:hAnsiTheme="minorHAnsi" w:cs="Arial"/>
                <w:i/>
                <w:color w:val="000000" w:themeColor="text1"/>
                <w:sz w:val="24"/>
                <w:highlight w:val="yellow"/>
              </w:rPr>
              <w:t xml:space="preserve">Choose an item </w:t>
            </w:r>
            <w:r w:rsidRPr="00EC0753">
              <w:rPr>
                <w:rFonts w:asciiTheme="minorHAnsi" w:hAnsiTheme="minorHAnsi" w:cs="Arial"/>
                <w:i/>
                <w:color w:val="000000" w:themeColor="text1"/>
                <w:sz w:val="24"/>
                <w:highlight w:val="yellow"/>
              </w:rPr>
              <w:t>and select]</w:t>
            </w:r>
          </w:p>
        </w:tc>
      </w:tr>
      <w:tr w:rsidR="0025742E" w:rsidRPr="00D1534C" w14:paraId="042BEFE6" w14:textId="77777777" w:rsidTr="0025742E">
        <w:trPr>
          <w:trHeight w:val="178"/>
        </w:trPr>
        <w:tc>
          <w:tcPr>
            <w:tcW w:w="4106" w:type="dxa"/>
          </w:tcPr>
          <w:p w14:paraId="0069EDBF" w14:textId="39B01BAE" w:rsidR="0025742E" w:rsidRPr="00F76975" w:rsidRDefault="00BF20F9"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2A9161A2BEA840E7ACDD2F0FFF25B4A3"/>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25742E">
                  <w:rPr>
                    <w:rFonts w:ascii="Arial" w:hAnsi="Arial" w:cs="Arial"/>
                    <w:color w:val="000000" w:themeColor="text1"/>
                    <w:sz w:val="24"/>
                  </w:rPr>
                  <w:t>Consent</w:t>
                </w:r>
              </w:sdtContent>
            </w:sdt>
          </w:p>
        </w:tc>
        <w:tc>
          <w:tcPr>
            <w:tcW w:w="5245" w:type="dxa"/>
          </w:tcPr>
          <w:sdt>
            <w:sdtPr>
              <w:rPr>
                <w:rFonts w:ascii="Arial" w:hAnsi="Arial" w:cs="Arial"/>
                <w:color w:val="000000" w:themeColor="text1"/>
                <w:sz w:val="24"/>
              </w:rPr>
              <w:alias w:val="Article 9"/>
              <w:tag w:val="Article 9"/>
              <w:id w:val="7034825"/>
              <w:placeholder>
                <w:docPart w:val="D2038BA4F0B04D1298D811DD8B522C95"/>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2FD21BB8" w:rsidR="0025742E" w:rsidRPr="00EC0753" w:rsidRDefault="0025742E"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Explicit Consent</w:t>
                </w:r>
              </w:p>
            </w:sdtContent>
          </w:sdt>
          <w:p w14:paraId="760AC8BF" w14:textId="77777777" w:rsidR="0025742E" w:rsidRPr="00F76975" w:rsidRDefault="0025742E" w:rsidP="00F76975">
            <w:pPr>
              <w:autoSpaceDE w:val="0"/>
              <w:autoSpaceDN w:val="0"/>
              <w:adjustRightInd w:val="0"/>
              <w:jc w:val="both"/>
              <w:rPr>
                <w:rFonts w:ascii="Arial" w:hAnsi="Arial" w:cs="Arial"/>
                <w:color w:val="000000" w:themeColor="text1"/>
                <w:sz w:val="24"/>
              </w:rPr>
            </w:pPr>
          </w:p>
        </w:tc>
      </w:tr>
    </w:tbl>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lastRenderedPageBreak/>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4"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1"/>
              <w14:checkedState w14:val="2612" w14:font="MS Gothic"/>
              <w14:uncheckedState w14:val="2610" w14:font="MS Gothic"/>
            </w14:checkbox>
          </w:sdtPr>
          <w:sdtEndPr/>
          <w:sdtContent>
            <w:tc>
              <w:tcPr>
                <w:tcW w:w="243" w:type="pct"/>
              </w:tcPr>
              <w:p w14:paraId="7DA0562A" w14:textId="4E0B0C2D" w:rsidR="004C16B2" w:rsidRPr="006619ED" w:rsidRDefault="00C74234"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0B168891" w14:textId="1BD36BE2" w:rsidR="004C16B2" w:rsidRPr="004C7933" w:rsidRDefault="004C7933" w:rsidP="00BB0EDF">
            <w:pPr>
              <w:autoSpaceDE w:val="0"/>
              <w:autoSpaceDN w:val="0"/>
              <w:adjustRightInd w:val="0"/>
              <w:rPr>
                <w:rFonts w:ascii="Arial" w:hAnsi="Arial" w:cs="Arial"/>
                <w:b w:val="0"/>
                <w:bCs/>
              </w:rPr>
            </w:pPr>
            <w:r w:rsidRPr="004C7933">
              <w:rPr>
                <w:rFonts w:ascii="Arial" w:hAnsi="Arial" w:cs="Arial"/>
                <w:b w:val="0"/>
                <w:bCs/>
              </w:rPr>
              <w:t>ECC and EWMHS (NELFT)</w:t>
            </w: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1"/>
              <w14:checkedState w14:val="2612" w14:font="MS Gothic"/>
              <w14:uncheckedState w14:val="2610" w14:font="MS Gothic"/>
            </w14:checkbox>
          </w:sdtPr>
          <w:sdtEndPr/>
          <w:sdtContent>
            <w:tc>
              <w:tcPr>
                <w:tcW w:w="243" w:type="pct"/>
              </w:tcPr>
              <w:p w14:paraId="6C90F98C" w14:textId="3E500FD5" w:rsidR="004C16B2" w:rsidRPr="006619ED" w:rsidRDefault="00C74234" w:rsidP="00BB0EDF">
                <w:pPr>
                  <w:autoSpaceDE w:val="0"/>
                  <w:autoSpaceDN w:val="0"/>
                  <w:adjustRightInd w:val="0"/>
                  <w:rPr>
                    <w:rFonts w:ascii="Arial" w:hAnsi="Arial" w:cs="Arial"/>
                    <w:b w:val="0"/>
                    <w:sz w:val="40"/>
                  </w:rPr>
                </w:pPr>
                <w:r w:rsidRPr="00C74234">
                  <w:rPr>
                    <w:rFonts w:ascii="MS Gothic" w:eastAsia="MS Gothic" w:hAnsi="MS Gothic" w:cs="Arial" w:hint="eastAsia"/>
                    <w:sz w:val="40"/>
                  </w:rPr>
                  <w:t>☒</w:t>
                </w:r>
              </w:p>
            </w:tc>
          </w:sdtContent>
        </w:sdt>
        <w:tc>
          <w:tcPr>
            <w:tcW w:w="1089" w:type="pct"/>
          </w:tcPr>
          <w:p w14:paraId="10C26786" w14:textId="3C6D82C2" w:rsidR="004C16B2" w:rsidRPr="004C7933" w:rsidRDefault="004C7933" w:rsidP="00BB0EDF">
            <w:pPr>
              <w:autoSpaceDE w:val="0"/>
              <w:autoSpaceDN w:val="0"/>
              <w:adjustRightInd w:val="0"/>
              <w:rPr>
                <w:rFonts w:ascii="Arial" w:hAnsi="Arial" w:cs="Arial"/>
                <w:b w:val="0"/>
                <w:bCs/>
              </w:rPr>
            </w:pPr>
            <w:r w:rsidRPr="004C7933">
              <w:rPr>
                <w:rFonts w:ascii="Arial" w:hAnsi="Arial" w:cs="Arial"/>
                <w:b w:val="0"/>
                <w:bCs/>
              </w:rPr>
              <w:t>ECC</w:t>
            </w: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2FA07FDA" w14:textId="77777777" w:rsidR="004C16B2" w:rsidRDefault="004C16B2" w:rsidP="00BB0EDF">
            <w:pPr>
              <w:autoSpaceDE w:val="0"/>
              <w:autoSpaceDN w:val="0"/>
              <w:adjustRightInd w:val="0"/>
              <w:rPr>
                <w:rFonts w:ascii="Arial" w:hAnsi="Arial" w:cs="Arial"/>
              </w:rPr>
            </w:pPr>
          </w:p>
        </w:tc>
      </w:tr>
    </w:tbl>
    <w:p w14:paraId="2876CB57" w14:textId="0A5A9996" w:rsidR="00384228" w:rsidRDefault="00384228" w:rsidP="00384228"/>
    <w:p w14:paraId="56B6E446" w14:textId="632C4908" w:rsidR="002D359A" w:rsidRPr="004C7933"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w:t>
      </w:r>
      <w:r w:rsidR="004C7933">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4C7933">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w:t>
      </w:r>
      <w:proofErr w:type="gramStart"/>
      <w:r w:rsidRPr="0042761F">
        <w:rPr>
          <w:rFonts w:ascii="Arial" w:hAnsi="Arial" w:cs="Arial"/>
          <w:color w:val="000000"/>
          <w:sz w:val="24"/>
          <w:szCs w:val="24"/>
        </w:rPr>
        <w:t>all of</w:t>
      </w:r>
      <w:proofErr w:type="gramEnd"/>
      <w:r w:rsidRPr="0042761F">
        <w:rPr>
          <w:rFonts w:ascii="Arial" w:hAnsi="Arial" w:cs="Arial"/>
          <w:color w:val="000000"/>
          <w:sz w:val="24"/>
          <w:szCs w:val="24"/>
        </w:rPr>
        <w:t xml:space="preserve">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5"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271B8ADB" w:rsidR="008A6D2F" w:rsidRPr="006619ED" w:rsidRDefault="00BF20F9"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BF54DA">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3C275252" w:rsidR="008A6D2F" w:rsidRPr="006619ED" w:rsidRDefault="00BF20F9"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BF54DA" w:rsidRPr="00BF54DA">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lastRenderedPageBreak/>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1EC54C75" w:rsidR="008A6D2F" w:rsidRPr="006619ED" w:rsidRDefault="00BF20F9"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BF54DA" w:rsidRPr="00BF54DA">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785085B7" w:rsidR="008A6D2F" w:rsidRPr="006619ED" w:rsidRDefault="00BF20F9" w:rsidP="00DF50E5">
            <w:pPr>
              <w:jc w:val="center"/>
              <w:rPr>
                <w:rFonts w:ascii="Arial" w:hAnsi="Arial" w:cs="Arial"/>
                <w:b w:val="0"/>
                <w:color w:val="000000"/>
                <w:sz w:val="36"/>
              </w:rPr>
            </w:pPr>
            <w:sdt>
              <w:sdtPr>
                <w:rPr>
                  <w:rFonts w:ascii="Arial" w:hAnsi="Arial" w:cs="Arial"/>
                  <w:color w:val="000000"/>
                  <w:sz w:val="36"/>
                </w:rPr>
                <w:id w:val="-682132396"/>
                <w14:checkbox>
                  <w14:checked w14:val="1"/>
                  <w14:checkedState w14:val="2612" w14:font="MS Gothic"/>
                  <w14:uncheckedState w14:val="2610" w14:font="MS Gothic"/>
                </w14:checkbox>
              </w:sdtPr>
              <w:sdtEndPr/>
              <w:sdtContent>
                <w:r w:rsidR="00BF54DA" w:rsidRPr="00BF54DA">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1AB29212" w:rsidR="008A6D2F" w:rsidRPr="006619ED" w:rsidRDefault="00BF20F9"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BF54DA" w:rsidRPr="00BF54DA">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72130345" w:rsidR="008A6D2F" w:rsidRPr="006619ED" w:rsidRDefault="00BF20F9"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BF54DA" w:rsidRPr="00BF54DA">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3F38CF0E" w:rsidR="008A6D2F" w:rsidRPr="006619ED" w:rsidRDefault="00BF20F9"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BF54DA" w:rsidRPr="00BF54DA">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 xml:space="preserve">the Individual has the right to request that a human being </w:t>
            </w:r>
            <w:proofErr w:type="gramStart"/>
            <w:r w:rsidR="14818A45" w:rsidRPr="00E30C5F">
              <w:rPr>
                <w:rFonts w:ascii="Arial" w:hAnsi="Arial" w:cs="Arial"/>
                <w:b w:val="0"/>
                <w:bCs/>
                <w:color w:val="000000" w:themeColor="text1"/>
                <w:sz w:val="24"/>
                <w:szCs w:val="24"/>
              </w:rPr>
              <w:t>makes a decision</w:t>
            </w:r>
            <w:proofErr w:type="gramEnd"/>
            <w:r w:rsidR="14818A45" w:rsidRPr="00E30C5F">
              <w:rPr>
                <w:rFonts w:ascii="Arial" w:hAnsi="Arial" w:cs="Arial"/>
                <w:b w:val="0"/>
                <w:bCs/>
                <w:color w:val="000000" w:themeColor="text1"/>
                <w:sz w:val="24"/>
                <w:szCs w:val="24"/>
              </w:rPr>
              <w:t xml:space="preserve">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2BB2F563" w:rsidR="008A6D2F" w:rsidRPr="006619ED" w:rsidRDefault="00BF20F9" w:rsidP="00DF50E5">
            <w:pPr>
              <w:jc w:val="center"/>
              <w:rPr>
                <w:rFonts w:ascii="Arial" w:hAnsi="Arial" w:cs="Arial"/>
                <w:b w:val="0"/>
                <w:color w:val="000000"/>
                <w:sz w:val="36"/>
              </w:rPr>
            </w:pPr>
            <w:sdt>
              <w:sdtPr>
                <w:rPr>
                  <w:rFonts w:ascii="Arial" w:hAnsi="Arial" w:cs="Arial"/>
                  <w:color w:val="000000"/>
                  <w:sz w:val="36"/>
                </w:rPr>
                <w:id w:val="1464471955"/>
                <w14:checkbox>
                  <w14:checked w14:val="1"/>
                  <w14:checkedState w14:val="2612" w14:font="MS Gothic"/>
                  <w14:uncheckedState w14:val="2610" w14:font="MS Gothic"/>
                </w14:checkbox>
              </w:sdtPr>
              <w:sdtEndPr/>
              <w:sdtContent>
                <w:r w:rsidR="00BF54DA" w:rsidRPr="00BF54DA">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4492C5D1" w:rsidR="008A6D2F" w:rsidRPr="006619ED" w:rsidRDefault="00BF20F9"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BF54DA" w:rsidRPr="00BF54DA">
                  <w:rPr>
                    <w:rFonts w:ascii="MS Gothic" w:eastAsia="MS Gothic" w:hAnsi="MS Gothic" w:cs="Arial" w:hint="eastAsia"/>
                    <w:color w:val="000000"/>
                    <w:sz w:val="36"/>
                  </w:rPr>
                  <w:t>☒</w:t>
                </w:r>
              </w:sdtContent>
            </w:sdt>
          </w:p>
        </w:tc>
      </w:tr>
    </w:tbl>
    <w:p w14:paraId="42230E72" w14:textId="35F2C8C7" w:rsidR="0051410F" w:rsidRDefault="0051410F" w:rsidP="00F33592">
      <w:pPr>
        <w:rPr>
          <w:rFonts w:ascii="Arial" w:hAnsi="Arial" w:cs="Arial"/>
        </w:rPr>
      </w:pPr>
    </w:p>
    <w:p w14:paraId="3E0D3B68" w14:textId="1CACD8B4" w:rsidR="00B60F60" w:rsidRDefault="00B60F60" w:rsidP="00F33592">
      <w:pPr>
        <w:rPr>
          <w:rFonts w:ascii="Arial" w:hAnsi="Arial" w:cs="Arial"/>
        </w:rPr>
      </w:pPr>
    </w:p>
    <w:p w14:paraId="3880132B" w14:textId="77777777" w:rsidR="00BF54DA" w:rsidRDefault="00BF54DA" w:rsidP="00F33592">
      <w:pPr>
        <w:rPr>
          <w:rFonts w:ascii="Arial" w:hAnsi="Arial" w:cs="Arial"/>
        </w:rPr>
      </w:pPr>
    </w:p>
    <w:p w14:paraId="63FC1BB3" w14:textId="77777777" w:rsidR="00BF54DA" w:rsidRDefault="00BF54DA" w:rsidP="00F33592">
      <w:pPr>
        <w:rPr>
          <w:rFonts w:ascii="Arial" w:hAnsi="Arial" w:cs="Arial"/>
        </w:rPr>
      </w:pPr>
    </w:p>
    <w:p w14:paraId="25B45AA5" w14:textId="77777777" w:rsidR="00BF54DA" w:rsidRDefault="00BF54DA" w:rsidP="00F33592">
      <w:pPr>
        <w:rPr>
          <w:rFonts w:ascii="Arial" w:hAnsi="Arial" w:cs="Arial"/>
        </w:rPr>
      </w:pPr>
    </w:p>
    <w:p w14:paraId="700979D9" w14:textId="77777777" w:rsidR="00BF54DA" w:rsidRDefault="00BF54DA"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lastRenderedPageBreak/>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2ECC0144" w14:textId="3E8098AA" w:rsidR="00B530EC" w:rsidRDefault="00FA6907" w:rsidP="00F9711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98690A">
        <w:rPr>
          <w:rFonts w:ascii="Arial" w:hAnsi="Arial" w:cs="Arial"/>
          <w:sz w:val="24"/>
        </w:rPr>
        <w:t xml:space="preserve"> sending as an </w:t>
      </w:r>
      <w:r w:rsidR="0098690A" w:rsidRPr="00D356A7">
        <w:rPr>
          <w:rFonts w:ascii="Arial" w:hAnsi="Arial" w:cs="Arial"/>
          <w:sz w:val="24"/>
        </w:rPr>
        <w:t>Excel Spreadsheet via secure email.</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461429D9" w14:textId="0E9639A2" w:rsidR="003978A4" w:rsidRDefault="003978A4" w:rsidP="00F97118">
      <w:pPr>
        <w:autoSpaceDE w:val="0"/>
        <w:autoSpaceDN w:val="0"/>
        <w:adjustRightInd w:val="0"/>
        <w:contextualSpacing/>
        <w:jc w:val="both"/>
        <w:rPr>
          <w:rFonts w:ascii="Arial" w:hAnsi="Arial" w:cs="Arial"/>
          <w:i/>
          <w:sz w:val="24"/>
        </w:rPr>
      </w:pPr>
    </w:p>
    <w:p w14:paraId="342DC07D" w14:textId="5A3E3D92" w:rsidR="003978A4" w:rsidRDefault="003978A4" w:rsidP="00F97118">
      <w:pPr>
        <w:autoSpaceDE w:val="0"/>
        <w:autoSpaceDN w:val="0"/>
        <w:adjustRightInd w:val="0"/>
        <w:contextualSpacing/>
        <w:jc w:val="both"/>
        <w:rPr>
          <w:rFonts w:ascii="Arial" w:hAnsi="Arial" w:cs="Arial"/>
          <w:i/>
          <w:sz w:val="24"/>
        </w:rPr>
      </w:pPr>
    </w:p>
    <w:p w14:paraId="66005C8C" w14:textId="1B8C705B" w:rsidR="000B4BE7" w:rsidRDefault="000B4BE7" w:rsidP="45A2454D">
      <w:pPr>
        <w:autoSpaceDE w:val="0"/>
        <w:autoSpaceDN w:val="0"/>
        <w:adjustRightInd w:val="0"/>
        <w:contextualSpacing/>
        <w:jc w:val="both"/>
        <w:rPr>
          <w:rFonts w:ascii="Arial" w:hAnsi="Arial" w:cs="Arial"/>
          <w:b/>
          <w:bCs/>
          <w:sz w:val="24"/>
          <w:szCs w:val="24"/>
        </w:rPr>
      </w:pPr>
      <w:r w:rsidRPr="15C9276C">
        <w:rPr>
          <w:rStyle w:val="Hyperlink"/>
          <w:color w:val="auto"/>
          <w:sz w:val="52"/>
          <w:szCs w:val="52"/>
        </w:rPr>
        <w:t xml:space="preserve">7. </w:t>
      </w:r>
      <w:r w:rsidR="00F97118" w:rsidRPr="15C9276C">
        <w:rPr>
          <w:rStyle w:val="Hyperlink"/>
          <w:color w:val="auto"/>
          <w:sz w:val="52"/>
          <w:szCs w:val="52"/>
        </w:rPr>
        <w:t xml:space="preserve">International </w:t>
      </w:r>
      <w:r w:rsidR="4A59D766" w:rsidRPr="15C9276C">
        <w:rPr>
          <w:rStyle w:val="Hyperlink"/>
          <w:color w:val="auto"/>
          <w:sz w:val="52"/>
          <w:szCs w:val="52"/>
        </w:rPr>
        <w:t xml:space="preserve">Transfers </w:t>
      </w:r>
      <w:r w:rsidR="4A59D766" w:rsidRPr="15C9276C">
        <w:rPr>
          <w:rStyle w:val="Hyperlink"/>
          <w:b/>
          <w:bCs/>
          <w:color w:val="auto"/>
          <w:sz w:val="24"/>
          <w:szCs w:val="24"/>
        </w:rPr>
        <w:t>(</w:t>
      </w:r>
      <w:r w:rsidR="0098690A">
        <w:rPr>
          <w:rFonts w:ascii="Arial" w:hAnsi="Arial" w:cs="Arial"/>
          <w:b/>
          <w:bCs/>
          <w:sz w:val="24"/>
          <w:szCs w:val="24"/>
        </w:rPr>
        <w:t>Not</w:t>
      </w:r>
      <w:r w:rsidR="00F97118" w:rsidRPr="15C9276C">
        <w:rPr>
          <w:rFonts w:ascii="Arial" w:hAnsi="Arial" w:cs="Arial"/>
          <w:b/>
          <w:bCs/>
          <w:sz w:val="24"/>
          <w:szCs w:val="24"/>
        </w:rPr>
        <w:t xml:space="preserve"> </w:t>
      </w:r>
      <w:r w:rsidR="73818768" w:rsidRPr="15C9276C">
        <w:rPr>
          <w:rFonts w:ascii="Arial" w:hAnsi="Arial" w:cs="Arial"/>
          <w:b/>
          <w:bCs/>
          <w:sz w:val="24"/>
          <w:szCs w:val="24"/>
        </w:rPr>
        <w:t xml:space="preserve">applicable) </w:t>
      </w:r>
    </w:p>
    <w:p w14:paraId="5F1B15E7" w14:textId="2D241516" w:rsidR="003F7369" w:rsidRDefault="003F7369" w:rsidP="006D6A89">
      <w:pPr>
        <w:autoSpaceDE w:val="0"/>
        <w:autoSpaceDN w:val="0"/>
        <w:adjustRightInd w:val="0"/>
        <w:rPr>
          <w:rFonts w:ascii="Arial" w:hAnsi="Arial" w:cs="Arial"/>
          <w:b/>
          <w:color w:val="FF0000"/>
        </w:rPr>
      </w:pPr>
    </w:p>
    <w:p w14:paraId="5C49C27C" w14:textId="14B6F28E" w:rsidR="003F7369" w:rsidRDefault="003F7369" w:rsidP="006D6A89">
      <w:pPr>
        <w:autoSpaceDE w:val="0"/>
        <w:autoSpaceDN w:val="0"/>
        <w:adjustRightInd w:val="0"/>
        <w:rPr>
          <w:rFonts w:ascii="Arial" w:hAnsi="Arial" w:cs="Arial"/>
          <w:b/>
          <w:color w:val="FF0000"/>
        </w:rPr>
      </w:pPr>
    </w:p>
    <w:p w14:paraId="4983ED74" w14:textId="653959FF" w:rsidR="003F7369" w:rsidRDefault="003F7369" w:rsidP="006D6A89">
      <w:pPr>
        <w:autoSpaceDE w:val="0"/>
        <w:autoSpaceDN w:val="0"/>
        <w:adjustRightInd w:val="0"/>
        <w:rPr>
          <w:rFonts w:ascii="Arial" w:hAnsi="Arial" w:cs="Arial"/>
          <w:b/>
          <w:color w:val="FF0000"/>
        </w:rPr>
      </w:pPr>
    </w:p>
    <w:p w14:paraId="643E8A30" w14:textId="77777777" w:rsidR="003F7369" w:rsidRPr="006D6A89" w:rsidRDefault="003F7369" w:rsidP="006D6A89">
      <w:pPr>
        <w:autoSpaceDE w:val="0"/>
        <w:autoSpaceDN w:val="0"/>
        <w:adjustRightInd w:val="0"/>
        <w:rPr>
          <w:rFonts w:ascii="Arial" w:hAnsi="Arial" w:cs="Arial"/>
          <w:i/>
        </w:rPr>
      </w:pP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lastRenderedPageBreak/>
        <w:t>8</w:t>
      </w:r>
      <w:r w:rsidR="00483784" w:rsidRPr="00594131">
        <w:rPr>
          <w:rStyle w:val="Hyperlink"/>
          <w:rFonts w:ascii="Calibri" w:eastAsia="Calibri" w:hAnsi="Calibri"/>
          <w:b w:val="0"/>
          <w:bCs w:val="0"/>
          <w:color w:val="auto"/>
          <w:sz w:val="52"/>
          <w:szCs w:val="24"/>
        </w:rPr>
        <w:t>. Format &amp; Frequency</w:t>
      </w:r>
    </w:p>
    <w:p w14:paraId="3169A74A" w14:textId="0AD76877"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Pr="00990D5C">
        <w:rPr>
          <w:rFonts w:ascii="Arial" w:hAnsi="Arial" w:cs="Arial"/>
          <w:color w:val="000000" w:themeColor="text1"/>
          <w:sz w:val="24"/>
        </w:rPr>
        <w:t xml:space="preserve"> </w:t>
      </w:r>
      <w:r w:rsidR="00BE0522">
        <w:rPr>
          <w:rFonts w:ascii="Arial" w:hAnsi="Arial" w:cs="Arial"/>
          <w:sz w:val="24"/>
        </w:rPr>
        <w:t>an Excel spreadsheet via secure email.</w:t>
      </w:r>
      <w:r w:rsidR="00BE0522" w:rsidRPr="00990D5C">
        <w:rPr>
          <w:rFonts w:ascii="Arial" w:hAnsi="Arial" w:cs="Arial"/>
          <w:b/>
          <w:color w:val="000000" w:themeColor="text1"/>
          <w:sz w:val="24"/>
          <w:highlight w:val="yellow"/>
        </w:rPr>
        <w:t xml:space="preserve"> </w:t>
      </w:r>
    </w:p>
    <w:p w14:paraId="3D438312" w14:textId="2BD1BAB0"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The frequency with which the information will be shared is</w:t>
      </w:r>
      <w:r w:rsidR="005A64BC">
        <w:rPr>
          <w:rFonts w:ascii="Arial" w:hAnsi="Arial" w:cs="Arial"/>
          <w:sz w:val="24"/>
        </w:rPr>
        <w:t xml:space="preserve"> every three months.</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3CBF3E56"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5A64BC">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lastRenderedPageBreak/>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412A1FF"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23746F7B" w14:textId="5730784D" w:rsidR="005A64BC"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62AFA887"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6F52862B" w14:textId="3E70CD02" w:rsidR="000E1754" w:rsidRPr="005A64BC" w:rsidRDefault="00E57D61" w:rsidP="005A64BC">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2D359A">
        <w:rPr>
          <w:rFonts w:ascii="Arial" w:eastAsia="Times New Roman" w:hAnsi="Arial" w:cs="Arial"/>
          <w:sz w:val="24"/>
        </w:rPr>
        <w:t>must be</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Signed copies should be retained by the Lead Organisation for the lifetime of the Protocol plus two years.</w:t>
      </w:r>
    </w:p>
    <w:tbl>
      <w:tblPr>
        <w:tblStyle w:val="TableGrid"/>
        <w:tblW w:w="0" w:type="auto"/>
        <w:tblLook w:val="04A0" w:firstRow="1" w:lastRow="0" w:firstColumn="1" w:lastColumn="0" w:noHBand="0" w:noVBand="1"/>
      </w:tblPr>
      <w:tblGrid>
        <w:gridCol w:w="6974"/>
        <w:gridCol w:w="6974"/>
      </w:tblGrid>
      <w:tr w:rsidR="000E1754" w14:paraId="45E55D3E" w14:textId="77777777" w:rsidTr="000E1754">
        <w:tc>
          <w:tcPr>
            <w:tcW w:w="6974" w:type="dxa"/>
            <w:shd w:val="clear" w:color="auto" w:fill="244061" w:themeFill="accent1" w:themeFillShade="80"/>
            <w:vAlign w:val="center"/>
          </w:tcPr>
          <w:p w14:paraId="14A38A2F" w14:textId="0749085C" w:rsidR="000E1754" w:rsidRPr="000E1754" w:rsidRDefault="000E1754" w:rsidP="000E1754">
            <w:pPr>
              <w:spacing w:line="276" w:lineRule="auto"/>
              <w:rPr>
                <w:sz w:val="28"/>
                <w:szCs w:val="28"/>
              </w:rPr>
            </w:pPr>
            <w:r w:rsidRPr="000E1754">
              <w:rPr>
                <w:sz w:val="36"/>
                <w:szCs w:val="36"/>
              </w:rPr>
              <w:t>Protocol Lead Organisation</w:t>
            </w:r>
          </w:p>
        </w:tc>
        <w:tc>
          <w:tcPr>
            <w:tcW w:w="6974" w:type="dxa"/>
            <w:shd w:val="clear" w:color="auto" w:fill="244061" w:themeFill="accent1" w:themeFillShade="80"/>
            <w:vAlign w:val="center"/>
          </w:tcPr>
          <w:p w14:paraId="60F8DA8E" w14:textId="77777777" w:rsidR="000E1754" w:rsidRPr="000E1754" w:rsidRDefault="000E1754" w:rsidP="00776851">
            <w:pPr>
              <w:rPr>
                <w:sz w:val="28"/>
                <w:szCs w:val="28"/>
              </w:rPr>
            </w:pPr>
          </w:p>
        </w:tc>
      </w:tr>
      <w:tr w:rsidR="000E1754" w14:paraId="3A27C591" w14:textId="77777777" w:rsidTr="000E1754">
        <w:tc>
          <w:tcPr>
            <w:tcW w:w="6974" w:type="dxa"/>
            <w:vAlign w:val="center"/>
          </w:tcPr>
          <w:p w14:paraId="5D218D50" w14:textId="07219F38" w:rsidR="000E1754" w:rsidRPr="000E1754" w:rsidRDefault="000E1754" w:rsidP="000E1754">
            <w:pPr>
              <w:spacing w:line="480" w:lineRule="auto"/>
              <w:rPr>
                <w:sz w:val="28"/>
                <w:szCs w:val="28"/>
              </w:rPr>
            </w:pPr>
            <w:r w:rsidRPr="000E1754">
              <w:rPr>
                <w:sz w:val="28"/>
                <w:szCs w:val="28"/>
              </w:rPr>
              <w:t>Lead Organisation</w:t>
            </w:r>
          </w:p>
        </w:tc>
        <w:tc>
          <w:tcPr>
            <w:tcW w:w="6974" w:type="dxa"/>
            <w:vAlign w:val="center"/>
          </w:tcPr>
          <w:p w14:paraId="6B370E2D" w14:textId="2781E894" w:rsidR="000E1754" w:rsidRDefault="005A64BC" w:rsidP="00776851">
            <w:r>
              <w:t>Essex County Council</w:t>
            </w:r>
          </w:p>
        </w:tc>
      </w:tr>
      <w:tr w:rsidR="000E1754" w14:paraId="6BB90F4A" w14:textId="77777777" w:rsidTr="000E1754">
        <w:tc>
          <w:tcPr>
            <w:tcW w:w="6974" w:type="dxa"/>
            <w:vAlign w:val="center"/>
          </w:tcPr>
          <w:p w14:paraId="0B36DD55" w14:textId="71089D64" w:rsidR="000E1754" w:rsidRPr="000E1754" w:rsidRDefault="000E1754" w:rsidP="000E1754">
            <w:pPr>
              <w:spacing w:line="480" w:lineRule="auto"/>
              <w:rPr>
                <w:sz w:val="28"/>
                <w:szCs w:val="28"/>
              </w:rPr>
            </w:pPr>
            <w:r w:rsidRPr="000E1754">
              <w:rPr>
                <w:sz w:val="28"/>
                <w:szCs w:val="28"/>
              </w:rPr>
              <w:t>Role of Lead Signatory</w:t>
            </w:r>
          </w:p>
        </w:tc>
        <w:tc>
          <w:tcPr>
            <w:tcW w:w="6974" w:type="dxa"/>
            <w:vAlign w:val="center"/>
          </w:tcPr>
          <w:p w14:paraId="52D5B622" w14:textId="6AAFAB9B" w:rsidR="000E1754" w:rsidRDefault="007C2BE6" w:rsidP="00776851">
            <w:r>
              <w:t>SIRO</w:t>
            </w:r>
          </w:p>
        </w:tc>
      </w:tr>
      <w:tr w:rsidR="000E1754" w14:paraId="0245D1DF" w14:textId="77777777" w:rsidTr="000E1754">
        <w:tc>
          <w:tcPr>
            <w:tcW w:w="6974" w:type="dxa"/>
            <w:vAlign w:val="center"/>
          </w:tcPr>
          <w:p w14:paraId="358C7B07" w14:textId="2C6F95FC" w:rsidR="000E1754" w:rsidRPr="000E1754" w:rsidRDefault="000E1754" w:rsidP="000E1754">
            <w:pPr>
              <w:spacing w:line="480" w:lineRule="auto"/>
              <w:rPr>
                <w:sz w:val="28"/>
                <w:szCs w:val="28"/>
              </w:rPr>
            </w:pPr>
            <w:r w:rsidRPr="000E1754">
              <w:rPr>
                <w:sz w:val="28"/>
                <w:szCs w:val="28"/>
              </w:rPr>
              <w:lastRenderedPageBreak/>
              <w:t>Name of Lead Signatory</w:t>
            </w:r>
          </w:p>
        </w:tc>
        <w:tc>
          <w:tcPr>
            <w:tcW w:w="6974" w:type="dxa"/>
            <w:vAlign w:val="center"/>
          </w:tcPr>
          <w:p w14:paraId="695879CE" w14:textId="231F686E" w:rsidR="000E1754" w:rsidRDefault="009405BA" w:rsidP="00776851">
            <w:r>
              <w:t>Margaret Lee</w:t>
            </w:r>
          </w:p>
        </w:tc>
      </w:tr>
      <w:tr w:rsidR="000E1754" w14:paraId="4BCB30EB" w14:textId="77777777" w:rsidTr="000E1754">
        <w:tc>
          <w:tcPr>
            <w:tcW w:w="6974" w:type="dxa"/>
            <w:vAlign w:val="center"/>
          </w:tcPr>
          <w:p w14:paraId="4B90F90E" w14:textId="4BC243CE"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13AF6BE7" w14:textId="158CC834" w:rsidR="000E1754" w:rsidRDefault="0031792E" w:rsidP="00776851">
            <w:r>
              <w:t>October 2020</w:t>
            </w:r>
          </w:p>
        </w:tc>
      </w:tr>
      <w:tr w:rsidR="000E1754" w14:paraId="454946FE" w14:textId="77777777" w:rsidTr="000E1754">
        <w:tc>
          <w:tcPr>
            <w:tcW w:w="6974" w:type="dxa"/>
            <w:shd w:val="clear" w:color="auto" w:fill="244061" w:themeFill="accent1" w:themeFillShade="80"/>
            <w:vAlign w:val="center"/>
          </w:tcPr>
          <w:p w14:paraId="4D208375" w14:textId="145D6955" w:rsidR="000E1754" w:rsidRPr="000E1754" w:rsidRDefault="000E1754" w:rsidP="000E1754">
            <w:pPr>
              <w:spacing w:line="276" w:lineRule="auto"/>
              <w:rPr>
                <w:sz w:val="28"/>
                <w:szCs w:val="28"/>
              </w:rPr>
            </w:pPr>
            <w:r w:rsidRPr="000E1754">
              <w:rPr>
                <w:sz w:val="36"/>
                <w:szCs w:val="36"/>
              </w:rPr>
              <w:t>Protocol Partner Organisation</w:t>
            </w:r>
          </w:p>
        </w:tc>
        <w:tc>
          <w:tcPr>
            <w:tcW w:w="6974" w:type="dxa"/>
            <w:shd w:val="clear" w:color="auto" w:fill="244061" w:themeFill="accent1" w:themeFillShade="80"/>
            <w:vAlign w:val="center"/>
          </w:tcPr>
          <w:p w14:paraId="73600268" w14:textId="77777777" w:rsidR="000E1754" w:rsidRDefault="000E1754" w:rsidP="00776851"/>
        </w:tc>
      </w:tr>
      <w:tr w:rsidR="000E1754" w14:paraId="164D7D15" w14:textId="77777777" w:rsidTr="000E1754">
        <w:tc>
          <w:tcPr>
            <w:tcW w:w="6974" w:type="dxa"/>
            <w:vAlign w:val="center"/>
          </w:tcPr>
          <w:p w14:paraId="273557D1" w14:textId="4565C160" w:rsidR="000E1754" w:rsidRPr="000E1754" w:rsidRDefault="000E1754" w:rsidP="000E1754">
            <w:pPr>
              <w:spacing w:line="480" w:lineRule="auto"/>
              <w:rPr>
                <w:sz w:val="28"/>
                <w:szCs w:val="28"/>
              </w:rPr>
            </w:pPr>
            <w:r w:rsidRPr="000E1754">
              <w:rPr>
                <w:sz w:val="28"/>
                <w:szCs w:val="28"/>
              </w:rPr>
              <w:t>Partner Organisation</w:t>
            </w:r>
          </w:p>
        </w:tc>
        <w:tc>
          <w:tcPr>
            <w:tcW w:w="6974" w:type="dxa"/>
            <w:vAlign w:val="center"/>
          </w:tcPr>
          <w:p w14:paraId="4476A2B9" w14:textId="499409C0" w:rsidR="000E1754" w:rsidRDefault="0031792E" w:rsidP="00776851">
            <w:r>
              <w:t>NELFT</w:t>
            </w:r>
          </w:p>
        </w:tc>
      </w:tr>
      <w:tr w:rsidR="000E1754" w14:paraId="7590C839" w14:textId="77777777" w:rsidTr="000E1754">
        <w:tc>
          <w:tcPr>
            <w:tcW w:w="6974" w:type="dxa"/>
            <w:vAlign w:val="center"/>
          </w:tcPr>
          <w:p w14:paraId="35C45B5B" w14:textId="2570B7A6" w:rsidR="000E1754" w:rsidRPr="000E1754" w:rsidRDefault="000E1754" w:rsidP="000E1754">
            <w:pPr>
              <w:spacing w:line="480" w:lineRule="auto"/>
              <w:rPr>
                <w:sz w:val="28"/>
                <w:szCs w:val="28"/>
              </w:rPr>
            </w:pPr>
            <w:r w:rsidRPr="000E1754">
              <w:rPr>
                <w:sz w:val="28"/>
                <w:szCs w:val="28"/>
              </w:rPr>
              <w:t>Role of Partner Signatory</w:t>
            </w:r>
          </w:p>
        </w:tc>
        <w:tc>
          <w:tcPr>
            <w:tcW w:w="6974" w:type="dxa"/>
            <w:vAlign w:val="center"/>
          </w:tcPr>
          <w:p w14:paraId="48F18BE6" w14:textId="124A93E4" w:rsidR="000E1754" w:rsidRDefault="0031792E" w:rsidP="00776851">
            <w:r>
              <w:t>DPO</w:t>
            </w:r>
          </w:p>
        </w:tc>
      </w:tr>
      <w:tr w:rsidR="000E1754" w14:paraId="5C93EF57" w14:textId="77777777" w:rsidTr="000E1754">
        <w:tc>
          <w:tcPr>
            <w:tcW w:w="6974" w:type="dxa"/>
            <w:vAlign w:val="center"/>
          </w:tcPr>
          <w:p w14:paraId="4E5E3276" w14:textId="78358459" w:rsidR="000E1754" w:rsidRPr="000E1754" w:rsidRDefault="000E1754" w:rsidP="000E1754">
            <w:pPr>
              <w:spacing w:line="480" w:lineRule="auto"/>
              <w:rPr>
                <w:sz w:val="28"/>
                <w:szCs w:val="28"/>
              </w:rPr>
            </w:pPr>
            <w:r w:rsidRPr="000E1754">
              <w:rPr>
                <w:sz w:val="28"/>
                <w:szCs w:val="28"/>
              </w:rPr>
              <w:t>Name of Partner Signatory</w:t>
            </w:r>
          </w:p>
        </w:tc>
        <w:tc>
          <w:tcPr>
            <w:tcW w:w="6974" w:type="dxa"/>
            <w:vAlign w:val="center"/>
          </w:tcPr>
          <w:p w14:paraId="0EC2A72C" w14:textId="7B401903" w:rsidR="000E1754" w:rsidRDefault="0031792E" w:rsidP="00776851">
            <w:r>
              <w:t>Robert Paley</w:t>
            </w:r>
          </w:p>
        </w:tc>
      </w:tr>
      <w:tr w:rsidR="000E1754" w14:paraId="23AA8214" w14:textId="77777777" w:rsidTr="000E1754">
        <w:tc>
          <w:tcPr>
            <w:tcW w:w="6974" w:type="dxa"/>
            <w:vAlign w:val="center"/>
          </w:tcPr>
          <w:p w14:paraId="359FF924" w14:textId="61425375"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5525BC02" w14:textId="551DEBC8" w:rsidR="000E1754" w:rsidRDefault="0031792E" w:rsidP="00776851">
            <w:r>
              <w:t>October 2020</w:t>
            </w:r>
          </w:p>
        </w:tc>
      </w:tr>
    </w:tbl>
    <w:p w14:paraId="1DF32A7F" w14:textId="4B8E6884" w:rsidR="000E1754" w:rsidRDefault="000E1754" w:rsidP="00776851"/>
    <w:p w14:paraId="63AC9B4D" w14:textId="77777777" w:rsidR="0011185F" w:rsidRPr="00455703" w:rsidRDefault="0011185F" w:rsidP="00776851">
      <w:pPr>
        <w:rPr>
          <w:sz w:val="40"/>
          <w:szCs w:val="40"/>
        </w:rPr>
      </w:pPr>
    </w:p>
    <w:sectPr w:rsidR="0011185F" w:rsidRPr="00455703" w:rsidSect="00C02347">
      <w:headerReference w:type="even" r:id="rId16"/>
      <w:headerReference w:type="default" r:id="rId17"/>
      <w:footerReference w:type="even" r:id="rId18"/>
      <w:footerReference w:type="default" r:id="rId19"/>
      <w:headerReference w:type="first" r:id="rId20"/>
      <w:footerReference w:type="first" r:id="rId21"/>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A5D1F" w14:textId="77777777" w:rsidR="00BF20F9" w:rsidRDefault="00BF20F9" w:rsidP="00CF0AF3">
      <w:pPr>
        <w:spacing w:after="0" w:line="240" w:lineRule="auto"/>
      </w:pPr>
      <w:r>
        <w:separator/>
      </w:r>
    </w:p>
  </w:endnote>
  <w:endnote w:type="continuationSeparator" w:id="0">
    <w:p w14:paraId="0E72704E" w14:textId="77777777" w:rsidR="00BF20F9" w:rsidRDefault="00BF20F9" w:rsidP="00CF0AF3">
      <w:pPr>
        <w:spacing w:after="0" w:line="240" w:lineRule="auto"/>
      </w:pPr>
      <w:r>
        <w:continuationSeparator/>
      </w:r>
    </w:p>
  </w:endnote>
  <w:endnote w:type="continuationNotice" w:id="1">
    <w:p w14:paraId="76D95D82" w14:textId="77777777" w:rsidR="00BF20F9" w:rsidRDefault="00BF2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F653" w14:textId="77777777" w:rsidR="00EB10CA" w:rsidRDefault="00EB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0AB3EE2" w:rsidR="00FE26BB" w:rsidRDefault="00EF6794">
    <w:pPr>
      <w:pStyle w:val="Footer"/>
    </w:pPr>
    <w:r>
      <w:t>V2022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805" w14:textId="77777777" w:rsidR="00EB10CA" w:rsidRDefault="00EB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9D18" w14:textId="77777777" w:rsidR="00BF20F9" w:rsidRDefault="00BF20F9" w:rsidP="00CF0AF3">
      <w:pPr>
        <w:spacing w:after="0" w:line="240" w:lineRule="auto"/>
      </w:pPr>
      <w:r>
        <w:separator/>
      </w:r>
    </w:p>
  </w:footnote>
  <w:footnote w:type="continuationSeparator" w:id="0">
    <w:p w14:paraId="3D4ADEFD" w14:textId="77777777" w:rsidR="00BF20F9" w:rsidRDefault="00BF20F9" w:rsidP="00CF0AF3">
      <w:pPr>
        <w:spacing w:after="0" w:line="240" w:lineRule="auto"/>
      </w:pPr>
      <w:r>
        <w:continuationSeparator/>
      </w:r>
    </w:p>
  </w:footnote>
  <w:footnote w:type="continuationNotice" w:id="1">
    <w:p w14:paraId="0E2C3190" w14:textId="77777777" w:rsidR="00BF20F9" w:rsidRDefault="00BF2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385" w14:textId="77777777" w:rsidR="00EB10CA" w:rsidRDefault="00EB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A1A" w14:textId="77777777" w:rsidR="00EB10CA" w:rsidRDefault="00E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A69"/>
    <w:multiLevelType w:val="hybridMultilevel"/>
    <w:tmpl w:val="A0D823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7"/>
  </w:num>
  <w:num w:numId="6">
    <w:abstractNumId w:val="10"/>
  </w:num>
  <w:num w:numId="7">
    <w:abstractNumId w:val="11"/>
  </w:num>
  <w:num w:numId="8">
    <w:abstractNumId w:val="2"/>
  </w:num>
  <w:num w:numId="9">
    <w:abstractNumId w:val="4"/>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20DE5"/>
    <w:rsid w:val="00031837"/>
    <w:rsid w:val="00061E49"/>
    <w:rsid w:val="00061F39"/>
    <w:rsid w:val="00063483"/>
    <w:rsid w:val="0006569A"/>
    <w:rsid w:val="00072021"/>
    <w:rsid w:val="00084F55"/>
    <w:rsid w:val="000913C4"/>
    <w:rsid w:val="000A0E60"/>
    <w:rsid w:val="000A3423"/>
    <w:rsid w:val="000A4961"/>
    <w:rsid w:val="000B4BE7"/>
    <w:rsid w:val="000C34CC"/>
    <w:rsid w:val="000D5739"/>
    <w:rsid w:val="000D63A6"/>
    <w:rsid w:val="000E1754"/>
    <w:rsid w:val="000E7972"/>
    <w:rsid w:val="00103A63"/>
    <w:rsid w:val="001045DA"/>
    <w:rsid w:val="0011185F"/>
    <w:rsid w:val="00116404"/>
    <w:rsid w:val="001224DC"/>
    <w:rsid w:val="001474BC"/>
    <w:rsid w:val="00152DB7"/>
    <w:rsid w:val="001558BD"/>
    <w:rsid w:val="00161696"/>
    <w:rsid w:val="00161B15"/>
    <w:rsid w:val="001631A8"/>
    <w:rsid w:val="00176414"/>
    <w:rsid w:val="001774A4"/>
    <w:rsid w:val="00177DF7"/>
    <w:rsid w:val="001868AA"/>
    <w:rsid w:val="00187007"/>
    <w:rsid w:val="00187726"/>
    <w:rsid w:val="001937F1"/>
    <w:rsid w:val="00196C58"/>
    <w:rsid w:val="00197A75"/>
    <w:rsid w:val="001A08C2"/>
    <w:rsid w:val="001A4FBF"/>
    <w:rsid w:val="001C12E3"/>
    <w:rsid w:val="001C2564"/>
    <w:rsid w:val="001D1390"/>
    <w:rsid w:val="001F272A"/>
    <w:rsid w:val="00201CA0"/>
    <w:rsid w:val="00201FF7"/>
    <w:rsid w:val="002142A5"/>
    <w:rsid w:val="0023472B"/>
    <w:rsid w:val="00246075"/>
    <w:rsid w:val="0025742E"/>
    <w:rsid w:val="00265083"/>
    <w:rsid w:val="0026626D"/>
    <w:rsid w:val="00281C96"/>
    <w:rsid w:val="0028372D"/>
    <w:rsid w:val="0029464B"/>
    <w:rsid w:val="00297DF8"/>
    <w:rsid w:val="002A04E6"/>
    <w:rsid w:val="002B11E5"/>
    <w:rsid w:val="002B5648"/>
    <w:rsid w:val="002B6F7D"/>
    <w:rsid w:val="002B703D"/>
    <w:rsid w:val="002C3E4D"/>
    <w:rsid w:val="002D26F1"/>
    <w:rsid w:val="002D359A"/>
    <w:rsid w:val="002F5E81"/>
    <w:rsid w:val="00300372"/>
    <w:rsid w:val="00301404"/>
    <w:rsid w:val="00303E08"/>
    <w:rsid w:val="003060B3"/>
    <w:rsid w:val="0031792E"/>
    <w:rsid w:val="00320C26"/>
    <w:rsid w:val="00330050"/>
    <w:rsid w:val="00332825"/>
    <w:rsid w:val="00333A42"/>
    <w:rsid w:val="00343877"/>
    <w:rsid w:val="00346337"/>
    <w:rsid w:val="0035055D"/>
    <w:rsid w:val="003548CA"/>
    <w:rsid w:val="00357D8A"/>
    <w:rsid w:val="00370272"/>
    <w:rsid w:val="003760B7"/>
    <w:rsid w:val="00384228"/>
    <w:rsid w:val="003870A6"/>
    <w:rsid w:val="00390842"/>
    <w:rsid w:val="00395E1C"/>
    <w:rsid w:val="003978A4"/>
    <w:rsid w:val="003A0A0E"/>
    <w:rsid w:val="003B17AA"/>
    <w:rsid w:val="003B680D"/>
    <w:rsid w:val="003C58E4"/>
    <w:rsid w:val="003D133A"/>
    <w:rsid w:val="003D1BCC"/>
    <w:rsid w:val="003D1C7F"/>
    <w:rsid w:val="003D2D74"/>
    <w:rsid w:val="003D3AA8"/>
    <w:rsid w:val="003D4548"/>
    <w:rsid w:val="003D798E"/>
    <w:rsid w:val="003E0600"/>
    <w:rsid w:val="003F7369"/>
    <w:rsid w:val="004065A9"/>
    <w:rsid w:val="004209F2"/>
    <w:rsid w:val="00420C22"/>
    <w:rsid w:val="00423F41"/>
    <w:rsid w:val="0042761F"/>
    <w:rsid w:val="0044006D"/>
    <w:rsid w:val="0044205F"/>
    <w:rsid w:val="004429AC"/>
    <w:rsid w:val="00442A9E"/>
    <w:rsid w:val="004528E9"/>
    <w:rsid w:val="00454630"/>
    <w:rsid w:val="00455703"/>
    <w:rsid w:val="00474962"/>
    <w:rsid w:val="00475430"/>
    <w:rsid w:val="00483784"/>
    <w:rsid w:val="00490195"/>
    <w:rsid w:val="004C16B2"/>
    <w:rsid w:val="004C7933"/>
    <w:rsid w:val="004D2540"/>
    <w:rsid w:val="004D4F1B"/>
    <w:rsid w:val="004E17A7"/>
    <w:rsid w:val="004E6A52"/>
    <w:rsid w:val="004F66DD"/>
    <w:rsid w:val="0050429B"/>
    <w:rsid w:val="005100CB"/>
    <w:rsid w:val="0051410F"/>
    <w:rsid w:val="005268D0"/>
    <w:rsid w:val="0054279D"/>
    <w:rsid w:val="00542FB8"/>
    <w:rsid w:val="00547141"/>
    <w:rsid w:val="00557AE1"/>
    <w:rsid w:val="00575033"/>
    <w:rsid w:val="00584EDA"/>
    <w:rsid w:val="005877C2"/>
    <w:rsid w:val="00591085"/>
    <w:rsid w:val="00594131"/>
    <w:rsid w:val="0059561C"/>
    <w:rsid w:val="005A64BC"/>
    <w:rsid w:val="005B6618"/>
    <w:rsid w:val="005C0275"/>
    <w:rsid w:val="005D0799"/>
    <w:rsid w:val="005E3B82"/>
    <w:rsid w:val="005F200F"/>
    <w:rsid w:val="006010FD"/>
    <w:rsid w:val="00607EA8"/>
    <w:rsid w:val="00614497"/>
    <w:rsid w:val="00620907"/>
    <w:rsid w:val="00627E53"/>
    <w:rsid w:val="00630E25"/>
    <w:rsid w:val="00634957"/>
    <w:rsid w:val="006468B1"/>
    <w:rsid w:val="006619ED"/>
    <w:rsid w:val="00664755"/>
    <w:rsid w:val="00664949"/>
    <w:rsid w:val="00665017"/>
    <w:rsid w:val="0067347C"/>
    <w:rsid w:val="006752D1"/>
    <w:rsid w:val="006801A3"/>
    <w:rsid w:val="006846FE"/>
    <w:rsid w:val="006A17C4"/>
    <w:rsid w:val="006A44AE"/>
    <w:rsid w:val="006B4E04"/>
    <w:rsid w:val="006C0939"/>
    <w:rsid w:val="006C636F"/>
    <w:rsid w:val="006C7450"/>
    <w:rsid w:val="006D6A89"/>
    <w:rsid w:val="006E3E50"/>
    <w:rsid w:val="006F61C8"/>
    <w:rsid w:val="00701D57"/>
    <w:rsid w:val="00706A6B"/>
    <w:rsid w:val="0071108A"/>
    <w:rsid w:val="007133F8"/>
    <w:rsid w:val="00715C35"/>
    <w:rsid w:val="007205D3"/>
    <w:rsid w:val="0072514C"/>
    <w:rsid w:val="0073579A"/>
    <w:rsid w:val="00756D68"/>
    <w:rsid w:val="00772304"/>
    <w:rsid w:val="007737AC"/>
    <w:rsid w:val="007742F5"/>
    <w:rsid w:val="00776851"/>
    <w:rsid w:val="00781BF5"/>
    <w:rsid w:val="007841D5"/>
    <w:rsid w:val="00784845"/>
    <w:rsid w:val="00787E95"/>
    <w:rsid w:val="00795680"/>
    <w:rsid w:val="007A3B24"/>
    <w:rsid w:val="007C2BE6"/>
    <w:rsid w:val="007D3DE4"/>
    <w:rsid w:val="007E2329"/>
    <w:rsid w:val="007E2F6C"/>
    <w:rsid w:val="00804C46"/>
    <w:rsid w:val="00807FC1"/>
    <w:rsid w:val="008139CA"/>
    <w:rsid w:val="0082166D"/>
    <w:rsid w:val="00830182"/>
    <w:rsid w:val="008310F4"/>
    <w:rsid w:val="008335C6"/>
    <w:rsid w:val="00847174"/>
    <w:rsid w:val="00853B8F"/>
    <w:rsid w:val="00880AA4"/>
    <w:rsid w:val="00885587"/>
    <w:rsid w:val="008869B7"/>
    <w:rsid w:val="00894B77"/>
    <w:rsid w:val="008A0B38"/>
    <w:rsid w:val="008A4131"/>
    <w:rsid w:val="008A6D2F"/>
    <w:rsid w:val="008B1282"/>
    <w:rsid w:val="008B14FE"/>
    <w:rsid w:val="008C5AFD"/>
    <w:rsid w:val="008E41B9"/>
    <w:rsid w:val="008E7C2F"/>
    <w:rsid w:val="009063F3"/>
    <w:rsid w:val="00907F8F"/>
    <w:rsid w:val="00915122"/>
    <w:rsid w:val="009405BA"/>
    <w:rsid w:val="00941760"/>
    <w:rsid w:val="0096618D"/>
    <w:rsid w:val="00966A50"/>
    <w:rsid w:val="00967E65"/>
    <w:rsid w:val="0098055A"/>
    <w:rsid w:val="0098690A"/>
    <w:rsid w:val="00990D5C"/>
    <w:rsid w:val="00994006"/>
    <w:rsid w:val="009B4AD0"/>
    <w:rsid w:val="009C296B"/>
    <w:rsid w:val="009D11B4"/>
    <w:rsid w:val="009D6B8D"/>
    <w:rsid w:val="00A00995"/>
    <w:rsid w:val="00A20BC6"/>
    <w:rsid w:val="00A3315F"/>
    <w:rsid w:val="00A34A42"/>
    <w:rsid w:val="00A35770"/>
    <w:rsid w:val="00A4020F"/>
    <w:rsid w:val="00A44981"/>
    <w:rsid w:val="00A501FF"/>
    <w:rsid w:val="00A55ECC"/>
    <w:rsid w:val="00A60B80"/>
    <w:rsid w:val="00A82083"/>
    <w:rsid w:val="00A83D1A"/>
    <w:rsid w:val="00A926A7"/>
    <w:rsid w:val="00A97684"/>
    <w:rsid w:val="00AA2D2B"/>
    <w:rsid w:val="00AC291B"/>
    <w:rsid w:val="00AD3E58"/>
    <w:rsid w:val="00AE725F"/>
    <w:rsid w:val="00AF4499"/>
    <w:rsid w:val="00B000B8"/>
    <w:rsid w:val="00B10B95"/>
    <w:rsid w:val="00B21F6C"/>
    <w:rsid w:val="00B2651B"/>
    <w:rsid w:val="00B275A4"/>
    <w:rsid w:val="00B47C60"/>
    <w:rsid w:val="00B530EC"/>
    <w:rsid w:val="00B563B0"/>
    <w:rsid w:val="00B566DF"/>
    <w:rsid w:val="00B60F60"/>
    <w:rsid w:val="00B6120E"/>
    <w:rsid w:val="00B74BA0"/>
    <w:rsid w:val="00B90BFA"/>
    <w:rsid w:val="00B96532"/>
    <w:rsid w:val="00BA70D1"/>
    <w:rsid w:val="00BB0D2F"/>
    <w:rsid w:val="00BB292F"/>
    <w:rsid w:val="00BD2008"/>
    <w:rsid w:val="00BE0522"/>
    <w:rsid w:val="00BE6A63"/>
    <w:rsid w:val="00BE723F"/>
    <w:rsid w:val="00BF20F9"/>
    <w:rsid w:val="00BF3B8F"/>
    <w:rsid w:val="00BF54DA"/>
    <w:rsid w:val="00C02347"/>
    <w:rsid w:val="00C1150D"/>
    <w:rsid w:val="00C150C0"/>
    <w:rsid w:val="00C40747"/>
    <w:rsid w:val="00C46A58"/>
    <w:rsid w:val="00C53F6D"/>
    <w:rsid w:val="00C55A27"/>
    <w:rsid w:val="00C60661"/>
    <w:rsid w:val="00C61162"/>
    <w:rsid w:val="00C66246"/>
    <w:rsid w:val="00C71BA8"/>
    <w:rsid w:val="00C74234"/>
    <w:rsid w:val="00C81869"/>
    <w:rsid w:val="00C97FEA"/>
    <w:rsid w:val="00CB7B23"/>
    <w:rsid w:val="00CC1EFE"/>
    <w:rsid w:val="00CC6579"/>
    <w:rsid w:val="00CD1AE6"/>
    <w:rsid w:val="00CD75A2"/>
    <w:rsid w:val="00CD7F89"/>
    <w:rsid w:val="00CE00DB"/>
    <w:rsid w:val="00CE31E0"/>
    <w:rsid w:val="00CF0AF3"/>
    <w:rsid w:val="00CF1298"/>
    <w:rsid w:val="00CF43F1"/>
    <w:rsid w:val="00D066ED"/>
    <w:rsid w:val="00D1534C"/>
    <w:rsid w:val="00D15645"/>
    <w:rsid w:val="00D36E41"/>
    <w:rsid w:val="00D511B9"/>
    <w:rsid w:val="00D62DCA"/>
    <w:rsid w:val="00D97A07"/>
    <w:rsid w:val="00DC7101"/>
    <w:rsid w:val="00DD037D"/>
    <w:rsid w:val="00DE6587"/>
    <w:rsid w:val="00DE6ABA"/>
    <w:rsid w:val="00DF1BA3"/>
    <w:rsid w:val="00DF36A6"/>
    <w:rsid w:val="00DF50E5"/>
    <w:rsid w:val="00E132AB"/>
    <w:rsid w:val="00E30C5F"/>
    <w:rsid w:val="00E33C00"/>
    <w:rsid w:val="00E506C7"/>
    <w:rsid w:val="00E57D61"/>
    <w:rsid w:val="00E6047F"/>
    <w:rsid w:val="00E71F96"/>
    <w:rsid w:val="00E731A6"/>
    <w:rsid w:val="00E96379"/>
    <w:rsid w:val="00EA0CB5"/>
    <w:rsid w:val="00EB10CA"/>
    <w:rsid w:val="00EB1534"/>
    <w:rsid w:val="00EB3F8E"/>
    <w:rsid w:val="00EC0753"/>
    <w:rsid w:val="00EC7347"/>
    <w:rsid w:val="00EE330F"/>
    <w:rsid w:val="00EF3A59"/>
    <w:rsid w:val="00EF6794"/>
    <w:rsid w:val="00EF7930"/>
    <w:rsid w:val="00F0762A"/>
    <w:rsid w:val="00F243F2"/>
    <w:rsid w:val="00F33542"/>
    <w:rsid w:val="00F33592"/>
    <w:rsid w:val="00F54344"/>
    <w:rsid w:val="00F562EA"/>
    <w:rsid w:val="00F76975"/>
    <w:rsid w:val="00F91121"/>
    <w:rsid w:val="00F964AF"/>
    <w:rsid w:val="00F97118"/>
    <w:rsid w:val="00FA6907"/>
    <w:rsid w:val="00FA7085"/>
    <w:rsid w:val="00FA79A8"/>
    <w:rsid w:val="00FB4EC5"/>
    <w:rsid w:val="00FD3DDC"/>
    <w:rsid w:val="00FE1106"/>
    <w:rsid w:val="00FE26BB"/>
    <w:rsid w:val="00FE3791"/>
    <w:rsid w:val="00FE7EFC"/>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D604037"/>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 w:type="paragraph" w:styleId="NoSpacing">
    <w:name w:val="No Spacing"/>
    <w:uiPriority w:val="1"/>
    <w:qFormat/>
    <w:rsid w:val="007A3B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Paley@nelft.n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po@essex.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key-definitions/controllers-and-processor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161A2BEA840E7ACDD2F0FFF25B4A3"/>
        <w:category>
          <w:name w:val="General"/>
          <w:gallery w:val="placeholder"/>
        </w:category>
        <w:types>
          <w:type w:val="bbPlcHdr"/>
        </w:types>
        <w:behaviors>
          <w:behavior w:val="content"/>
        </w:behaviors>
        <w:guid w:val="{69773A70-055C-4E04-AE0F-84CB3C465EB6}"/>
      </w:docPartPr>
      <w:docPartBody>
        <w:p w:rsidR="00735DBF" w:rsidRDefault="00E531C4" w:rsidP="00E531C4">
          <w:pPr>
            <w:pStyle w:val="2A9161A2BEA840E7ACDD2F0FFF25B4A3"/>
          </w:pPr>
          <w:r w:rsidRPr="00D1534C">
            <w:rPr>
              <w:rStyle w:val="PlaceholderText"/>
              <w:sz w:val="24"/>
            </w:rPr>
            <w:t>Choose an item.</w:t>
          </w:r>
        </w:p>
      </w:docPartBody>
    </w:docPart>
    <w:docPart>
      <w:docPartPr>
        <w:name w:val="D2038BA4F0B04D1298D811DD8B522C95"/>
        <w:category>
          <w:name w:val="General"/>
          <w:gallery w:val="placeholder"/>
        </w:category>
        <w:types>
          <w:type w:val="bbPlcHdr"/>
        </w:types>
        <w:behaviors>
          <w:behavior w:val="content"/>
        </w:behaviors>
        <w:guid w:val="{AB926117-6D68-4537-8396-305DD92C675A}"/>
      </w:docPartPr>
      <w:docPartBody>
        <w:p w:rsidR="00735DBF" w:rsidRDefault="00E531C4" w:rsidP="00E531C4">
          <w:pPr>
            <w:pStyle w:val="D2038BA4F0B04D1298D811DD8B522C95"/>
          </w:pPr>
          <w:r w:rsidRPr="00D1534C">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0E5446"/>
    <w:rsid w:val="001B0521"/>
    <w:rsid w:val="001C257D"/>
    <w:rsid w:val="00257415"/>
    <w:rsid w:val="003A0A0E"/>
    <w:rsid w:val="00471CCB"/>
    <w:rsid w:val="005B4685"/>
    <w:rsid w:val="0064350A"/>
    <w:rsid w:val="00701167"/>
    <w:rsid w:val="00735DBF"/>
    <w:rsid w:val="00792EE2"/>
    <w:rsid w:val="00917125"/>
    <w:rsid w:val="00940BC5"/>
    <w:rsid w:val="00A040F8"/>
    <w:rsid w:val="00A60B80"/>
    <w:rsid w:val="00B721BC"/>
    <w:rsid w:val="00BA1CAA"/>
    <w:rsid w:val="00C81869"/>
    <w:rsid w:val="00CB3959"/>
    <w:rsid w:val="00CD4491"/>
    <w:rsid w:val="00CE4DA0"/>
    <w:rsid w:val="00CF0B9E"/>
    <w:rsid w:val="00D8171E"/>
    <w:rsid w:val="00DF02A4"/>
    <w:rsid w:val="00DF5CB8"/>
    <w:rsid w:val="00E107E1"/>
    <w:rsid w:val="00E239CA"/>
    <w:rsid w:val="00E531C4"/>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1C4"/>
    <w:rPr>
      <w:color w:val="808080"/>
    </w:rPr>
  </w:style>
  <w:style w:type="paragraph" w:customStyle="1" w:styleId="2A9161A2BEA840E7ACDD2F0FFF25B4A3">
    <w:name w:val="2A9161A2BEA840E7ACDD2F0FFF25B4A3"/>
    <w:rsid w:val="00E531C4"/>
    <w:pPr>
      <w:spacing w:after="160" w:line="259" w:lineRule="auto"/>
    </w:pPr>
  </w:style>
  <w:style w:type="paragraph" w:customStyle="1" w:styleId="D2038BA4F0B04D1298D811DD8B522C95">
    <w:name w:val="D2038BA4F0B04D1298D811DD8B522C95"/>
    <w:rsid w:val="00E531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5" ma:contentTypeDescription="Create a new document." ma:contentTypeScope="" ma:versionID="ea6f37891e71ba0e397c9cdb87d0416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1c201421ebae36acf2e1bc1d30bfe898"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customXml/itemProps2.xml><?xml version="1.0" encoding="utf-8"?>
<ds:datastoreItem xmlns:ds="http://schemas.openxmlformats.org/officeDocument/2006/customXml" ds:itemID="{DEE59C7D-628D-4491-959F-1FEF05A765E3}">
  <ds:schemaRefs>
    <ds:schemaRef ds:uri="http://schemas.microsoft.com/office/2006/metadata/properties"/>
    <ds:schemaRef ds:uri="http://schemas.microsoft.com/office/infopath/2007/PartnerControls"/>
    <ds:schemaRef ds:uri="6a461f78-e7a2-485a-8a47-5fc604b04102"/>
    <ds:schemaRef ds:uri="f2eba182-dee2-4ca0-b750-68efdd396afc"/>
  </ds:schemaRefs>
</ds:datastoreItem>
</file>

<file path=customXml/itemProps3.xml><?xml version="1.0" encoding="utf-8"?>
<ds:datastoreItem xmlns:ds="http://schemas.openxmlformats.org/officeDocument/2006/customXml" ds:itemID="{9A43EF7C-5AA6-4E8E-8DF0-76082B1CD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19123-53BB-45C0-82F8-2A4431A20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2178</Words>
  <Characters>12418</Characters>
  <Application>Microsoft Office Word</Application>
  <DocSecurity>2</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Stephen Hassett - Information Governance Manager</cp:lastModifiedBy>
  <cp:revision>28</cp:revision>
  <dcterms:created xsi:type="dcterms:W3CDTF">2022-06-16T08:40:00Z</dcterms:created>
  <dcterms:modified xsi:type="dcterms:W3CDTF">2022-06-16T09:31:00Z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MediaServiceImageTags">
    <vt:lpwstr/>
  </property>
</Properties>
</file>