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46872AEF"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p>
    <w:tbl>
      <w:tblPr>
        <w:tblStyle w:val="GridTable1Light-Accent1"/>
        <w:tblW w:w="5000" w:type="pct"/>
        <w:tblLook w:val="01E0" w:firstRow="1" w:lastRow="1" w:firstColumn="1" w:lastColumn="1" w:noHBand="0" w:noVBand="0"/>
      </w:tblPr>
      <w:tblGrid>
        <w:gridCol w:w="2380"/>
        <w:gridCol w:w="1930"/>
        <w:gridCol w:w="1342"/>
        <w:gridCol w:w="4834"/>
        <w:gridCol w:w="1559"/>
        <w:gridCol w:w="1903"/>
      </w:tblGrid>
      <w:tr w:rsidR="00420C22" w:rsidRPr="00766582" w14:paraId="5D602948" w14:textId="77777777" w:rsidTr="007D3DE4">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92"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81"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33"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9"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82"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146B5" w:rsidRPr="00766582" w14:paraId="0A37501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5DAB6C7B" w14:textId="65885942" w:rsidR="004146B5" w:rsidRPr="00766582" w:rsidRDefault="004146B5" w:rsidP="004146B5">
            <w:pPr>
              <w:rPr>
                <w:rFonts w:ascii="Arial" w:hAnsi="Arial" w:cs="Arial"/>
                <w:snapToGrid w:val="0"/>
                <w:color w:val="000000"/>
              </w:rPr>
            </w:pPr>
            <w:r w:rsidRPr="00FB62B5">
              <w:rPr>
                <w:rFonts w:ascii="Arial" w:hAnsi="Arial" w:cs="Arial"/>
                <w:b w:val="0"/>
                <w:bCs w:val="0"/>
                <w:snapToGrid w:val="0"/>
                <w:color w:val="000000"/>
              </w:rPr>
              <w:t>Essex County Council</w:t>
            </w:r>
          </w:p>
        </w:tc>
        <w:tc>
          <w:tcPr>
            <w:tcW w:w="692" w:type="pct"/>
          </w:tcPr>
          <w:p w14:paraId="02EB378F" w14:textId="3AD52BFE" w:rsidR="004146B5" w:rsidRPr="00766582" w:rsidRDefault="004146B5" w:rsidP="004146B5">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481" w:type="pct"/>
          </w:tcPr>
          <w:p w14:paraId="6A05A809" w14:textId="1F058225" w:rsidR="004146B5" w:rsidRPr="00766582" w:rsidRDefault="004146B5" w:rsidP="004146B5">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33" w:type="pct"/>
          </w:tcPr>
          <w:p w14:paraId="5A39BBE3" w14:textId="315E9B3C" w:rsidR="004146B5" w:rsidRPr="009F0B18" w:rsidRDefault="00D81C0A" w:rsidP="004146B5">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9" w:history="1">
              <w:r w:rsidR="004146B5" w:rsidRPr="003E0CA8">
                <w:rPr>
                  <w:rStyle w:val="Hyperlink"/>
                  <w:rFonts w:ascii="Arial" w:hAnsi="Arial" w:cs="Arial"/>
                  <w:snapToGrid w:val="0"/>
                </w:rPr>
                <w:t>dpo@essex.gov.uk</w:t>
              </w:r>
            </w:hyperlink>
            <w:r w:rsidR="004146B5" w:rsidRPr="003E0CA8">
              <w:rPr>
                <w:rFonts w:ascii="Arial" w:hAnsi="Arial" w:cs="Arial"/>
                <w:snapToGrid w:val="0"/>
                <w:color w:val="000000"/>
              </w:rPr>
              <w:t xml:space="preserve"> </w:t>
            </w:r>
          </w:p>
        </w:tc>
        <w:tc>
          <w:tcPr>
            <w:tcW w:w="559" w:type="pct"/>
          </w:tcPr>
          <w:p w14:paraId="41C8F396" w14:textId="157625D1" w:rsidR="004146B5" w:rsidRPr="00766582" w:rsidRDefault="004146B5" w:rsidP="004146B5">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82" w:type="pct"/>
          </w:tcPr>
          <w:p w14:paraId="72A3D3EC" w14:textId="70956E4E" w:rsidR="004146B5" w:rsidRPr="00766582" w:rsidRDefault="004146B5" w:rsidP="004146B5">
            <w:pPr>
              <w:rPr>
                <w:rFonts w:ascii="Arial" w:hAnsi="Arial" w:cs="Arial"/>
                <w:snapToGrid w:val="0"/>
                <w:color w:val="000000"/>
              </w:rPr>
            </w:pPr>
            <w:r w:rsidRPr="00FB62B5">
              <w:rPr>
                <w:rFonts w:ascii="Arial" w:hAnsi="Arial" w:cs="Arial"/>
                <w:b w:val="0"/>
                <w:bCs w:val="0"/>
                <w:snapToGrid w:val="0"/>
                <w:color w:val="000000"/>
              </w:rPr>
              <w:t>Z6034810</w:t>
            </w:r>
          </w:p>
        </w:tc>
      </w:tr>
      <w:tr w:rsidR="004146B5" w:rsidRPr="00766582" w14:paraId="0D0B940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0E27B00A" w14:textId="2FB5AD0F" w:rsidR="004146B5" w:rsidRPr="00766582" w:rsidRDefault="004146B5" w:rsidP="004146B5">
            <w:pPr>
              <w:rPr>
                <w:rFonts w:ascii="Arial" w:hAnsi="Arial" w:cs="Arial"/>
                <w:snapToGrid w:val="0"/>
                <w:color w:val="000000"/>
              </w:rPr>
            </w:pPr>
            <w:r w:rsidRPr="00C46CC1">
              <w:rPr>
                <w:rFonts w:ascii="Arial" w:hAnsi="Arial" w:cs="Arial"/>
                <w:b w:val="0"/>
                <w:bCs w:val="0"/>
                <w:snapToGrid w:val="0"/>
                <w:color w:val="000000"/>
              </w:rPr>
              <w:t>Essex Cares Ltd (ECL)</w:t>
            </w:r>
          </w:p>
        </w:tc>
        <w:tc>
          <w:tcPr>
            <w:tcW w:w="692" w:type="pct"/>
          </w:tcPr>
          <w:p w14:paraId="67BCE2B3" w14:textId="77777777" w:rsidR="004146B5" w:rsidRDefault="004146B5" w:rsidP="004146B5">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Seax House Floor 7</w:t>
            </w:r>
          </w:p>
          <w:p w14:paraId="60061E4C" w14:textId="5451ED74" w:rsidR="004146B5" w:rsidRPr="00766582" w:rsidRDefault="004146B5" w:rsidP="004146B5">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Victoria Road Chelmsford Essex CM1 1QH</w:t>
            </w:r>
          </w:p>
        </w:tc>
        <w:tc>
          <w:tcPr>
            <w:tcW w:w="481" w:type="pct"/>
          </w:tcPr>
          <w:p w14:paraId="44EAFD9C" w14:textId="660F61B7" w:rsidR="004146B5" w:rsidRPr="00766582" w:rsidRDefault="004146B5" w:rsidP="004146B5">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03330 135 438</w:t>
            </w:r>
          </w:p>
        </w:tc>
        <w:tc>
          <w:tcPr>
            <w:tcW w:w="1733" w:type="pct"/>
          </w:tcPr>
          <w:p w14:paraId="4B94D5A5" w14:textId="77249CDE" w:rsidR="004146B5" w:rsidRPr="00766582" w:rsidRDefault="00D81C0A" w:rsidP="004146B5">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0" w:history="1">
              <w:r w:rsidR="004146B5" w:rsidRPr="00600C76">
                <w:rPr>
                  <w:rStyle w:val="Hyperlink"/>
                  <w:rFonts w:ascii="Arial" w:hAnsi="Arial" w:cs="Arial"/>
                  <w:snapToGrid w:val="0"/>
                </w:rPr>
                <w:t>dataprotection@essexcares.org</w:t>
              </w:r>
            </w:hyperlink>
            <w:r w:rsidR="004146B5">
              <w:rPr>
                <w:rFonts w:ascii="Arial" w:hAnsi="Arial" w:cs="Arial"/>
                <w:snapToGrid w:val="0"/>
                <w:color w:val="000000"/>
              </w:rPr>
              <w:t xml:space="preserve"> </w:t>
            </w:r>
          </w:p>
        </w:tc>
        <w:tc>
          <w:tcPr>
            <w:tcW w:w="559" w:type="pct"/>
          </w:tcPr>
          <w:p w14:paraId="3DEEC669" w14:textId="3AA98F9A" w:rsidR="004146B5" w:rsidRPr="00766582" w:rsidRDefault="004146B5" w:rsidP="004146B5">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Laura Wheeler</w:t>
            </w:r>
          </w:p>
        </w:tc>
        <w:tc>
          <w:tcPr>
            <w:cnfStyle w:val="000100000000" w:firstRow="0" w:lastRow="0" w:firstColumn="0" w:lastColumn="1" w:oddVBand="0" w:evenVBand="0" w:oddHBand="0" w:evenHBand="0" w:firstRowFirstColumn="0" w:firstRowLastColumn="0" w:lastRowFirstColumn="0" w:lastRowLastColumn="0"/>
            <w:tcW w:w="682" w:type="pct"/>
          </w:tcPr>
          <w:p w14:paraId="3656B9AB" w14:textId="4E6C3F0C" w:rsidR="004146B5" w:rsidRPr="00580C4D" w:rsidRDefault="004146B5" w:rsidP="004146B5">
            <w:pPr>
              <w:rPr>
                <w:rFonts w:ascii="Arial" w:hAnsi="Arial" w:cs="Arial"/>
                <w:b w:val="0"/>
                <w:bCs w:val="0"/>
                <w:snapToGrid w:val="0"/>
                <w:color w:val="000000"/>
              </w:rPr>
            </w:pPr>
            <w:r w:rsidRPr="00580C4D">
              <w:rPr>
                <w:rFonts w:ascii="Arial" w:hAnsi="Arial" w:cs="Arial"/>
                <w:b w:val="0"/>
                <w:bCs w:val="0"/>
                <w:snapToGrid w:val="0"/>
                <w:color w:val="000000"/>
              </w:rPr>
              <w:t>Z1801658</w:t>
            </w:r>
          </w:p>
        </w:tc>
      </w:tr>
      <w:tr w:rsidR="004146B5" w:rsidRPr="00766582" w14:paraId="7C10521F" w14:textId="77777777" w:rsidTr="007D3DE4">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367F5775" w14:textId="77777777" w:rsidR="004146B5" w:rsidRPr="00766582" w:rsidRDefault="004146B5" w:rsidP="004146B5">
            <w:pPr>
              <w:rPr>
                <w:rFonts w:ascii="Arial" w:hAnsi="Arial" w:cs="Arial"/>
                <w:snapToGrid w:val="0"/>
                <w:color w:val="000000"/>
              </w:rPr>
            </w:pPr>
          </w:p>
        </w:tc>
        <w:tc>
          <w:tcPr>
            <w:tcW w:w="692" w:type="pct"/>
          </w:tcPr>
          <w:p w14:paraId="4E4AEAB0" w14:textId="77777777" w:rsidR="004146B5" w:rsidRPr="00766582" w:rsidRDefault="004146B5" w:rsidP="004146B5">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2B1A41D9" w14:textId="77777777" w:rsidR="004146B5" w:rsidRPr="00766582" w:rsidRDefault="004146B5" w:rsidP="004146B5">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295CE87E" w14:textId="77777777" w:rsidR="004146B5" w:rsidRPr="00766582" w:rsidRDefault="004146B5" w:rsidP="004146B5">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59" w:type="pct"/>
          </w:tcPr>
          <w:p w14:paraId="6C4FE843" w14:textId="77777777" w:rsidR="004146B5" w:rsidRPr="00766582" w:rsidRDefault="004146B5" w:rsidP="004146B5">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82" w:type="pct"/>
          </w:tcPr>
          <w:p w14:paraId="508E3EE9" w14:textId="77777777" w:rsidR="004146B5" w:rsidRPr="00766582" w:rsidRDefault="004146B5" w:rsidP="004146B5">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140B5979" w:rsidR="00BE723F" w:rsidRPr="00766582" w:rsidRDefault="00043F97" w:rsidP="00BB0EDF">
            <w:pPr>
              <w:rPr>
                <w:rFonts w:ascii="Arial" w:hAnsi="Arial" w:cs="Arial"/>
                <w:snapToGrid w:val="0"/>
                <w:color w:val="000000"/>
              </w:rPr>
            </w:pPr>
            <w:r>
              <w:rPr>
                <w:rFonts w:ascii="Arial" w:hAnsi="Arial" w:cs="Arial"/>
                <w:snapToGrid w:val="0"/>
                <w:color w:val="000000"/>
              </w:rPr>
              <w:t xml:space="preserve">10 </w:t>
            </w:r>
            <w:r w:rsidR="004146B5">
              <w:rPr>
                <w:rFonts w:ascii="Arial" w:hAnsi="Arial" w:cs="Arial"/>
                <w:snapToGrid w:val="0"/>
                <w:color w:val="000000"/>
              </w:rPr>
              <w:t>March 2023</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01BC3070" w:rsidR="00BE723F" w:rsidRPr="00580C4D" w:rsidRDefault="00043F97" w:rsidP="00BB0EDF">
            <w:pPr>
              <w:rPr>
                <w:rFonts w:ascii="Arial" w:hAnsi="Arial" w:cs="Arial"/>
                <w:snapToGrid w:val="0"/>
                <w:color w:val="000000"/>
              </w:rPr>
            </w:pPr>
            <w:r>
              <w:rPr>
                <w:rFonts w:ascii="Arial" w:hAnsi="Arial" w:cs="Arial"/>
                <w:snapToGrid w:val="0"/>
                <w:color w:val="000000"/>
              </w:rPr>
              <w:t xml:space="preserve">10 </w:t>
            </w:r>
            <w:r w:rsidR="00547F06" w:rsidRPr="00580C4D">
              <w:rPr>
                <w:rFonts w:ascii="Arial" w:hAnsi="Arial" w:cs="Arial"/>
                <w:snapToGrid w:val="0"/>
                <w:color w:val="000000"/>
              </w:rPr>
              <w:t>March 2026</w:t>
            </w:r>
          </w:p>
        </w:tc>
      </w:tr>
      <w:tr w:rsidR="00BE723F" w:rsidRPr="00766582" w14:paraId="2E6477CC" w14:textId="77777777" w:rsidTr="007D3DE4">
        <w:tc>
          <w:tcPr>
            <w:tcW w:w="1980" w:type="pct"/>
          </w:tcPr>
          <w:p w14:paraId="5DF36B70" w14:textId="2A78D42E" w:rsidR="00BE723F" w:rsidRPr="00766582" w:rsidRDefault="002D359A" w:rsidP="00BB0EDF">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5E6D9E73" w14:textId="23014123" w:rsidR="00BE723F" w:rsidRPr="00766582" w:rsidRDefault="004146B5" w:rsidP="00BB0EDF">
            <w:pPr>
              <w:rPr>
                <w:rFonts w:ascii="Arial" w:hAnsi="Arial" w:cs="Arial"/>
                <w:snapToGrid w:val="0"/>
                <w:color w:val="000000"/>
              </w:rPr>
            </w:pPr>
            <w:r>
              <w:rPr>
                <w:rFonts w:ascii="Arial" w:hAnsi="Arial" w:cs="Arial"/>
                <w:snapToGrid w:val="0"/>
                <w:color w:val="000000"/>
              </w:rPr>
              <w:t>Essex County Council</w:t>
            </w:r>
          </w:p>
        </w:tc>
      </w:tr>
      <w:tr w:rsidR="004146B5" w:rsidRPr="00766582" w14:paraId="61BD1B58" w14:textId="77777777" w:rsidTr="007D3DE4">
        <w:tc>
          <w:tcPr>
            <w:tcW w:w="1980" w:type="pct"/>
          </w:tcPr>
          <w:p w14:paraId="5F5494AA" w14:textId="6ECF71CB" w:rsidR="004146B5" w:rsidRPr="002D359A" w:rsidRDefault="004146B5" w:rsidP="004146B5">
            <w:pPr>
              <w:rPr>
                <w:rFonts w:ascii="Arial" w:hAnsi="Arial" w:cs="Arial"/>
                <w:bCs/>
                <w:snapToGrid w:val="0"/>
                <w:color w:val="000000"/>
              </w:rPr>
            </w:pPr>
            <w:r>
              <w:rPr>
                <w:rFonts w:ascii="Arial" w:hAnsi="Arial" w:cs="Arial"/>
                <w:bCs/>
                <w:snapToGrid w:val="0"/>
                <w:color w:val="000000"/>
              </w:rPr>
              <w:t>Protocol</w:t>
            </w:r>
            <w:r w:rsidRPr="002D359A">
              <w:rPr>
                <w:rFonts w:ascii="Arial" w:hAnsi="Arial" w:cs="Arial"/>
                <w:bCs/>
                <w:snapToGrid w:val="0"/>
                <w:color w:val="000000"/>
              </w:rPr>
              <w:t xml:space="preserve"> drawn up by (Author(s))</w:t>
            </w:r>
          </w:p>
        </w:tc>
        <w:tc>
          <w:tcPr>
            <w:tcW w:w="3020" w:type="pct"/>
          </w:tcPr>
          <w:p w14:paraId="4AD82981" w14:textId="5A3E813C" w:rsidR="004146B5" w:rsidRPr="00766582" w:rsidRDefault="004146B5" w:rsidP="004146B5">
            <w:pPr>
              <w:rPr>
                <w:rFonts w:ascii="Arial" w:hAnsi="Arial" w:cs="Arial"/>
                <w:snapToGrid w:val="0"/>
                <w:color w:val="000000"/>
              </w:rPr>
            </w:pPr>
            <w:r>
              <w:rPr>
                <w:rFonts w:ascii="Arial" w:hAnsi="Arial" w:cs="Arial"/>
                <w:snapToGrid w:val="0"/>
                <w:color w:val="000000"/>
              </w:rPr>
              <w:t>Gemma Gibbs, Senior information Governance Officer / Russell White, Head of Connect Programme / Fran Driver, Head of Quality and Corporate Assurance (ECL)</w:t>
            </w:r>
          </w:p>
        </w:tc>
      </w:tr>
      <w:tr w:rsidR="004146B5" w:rsidRPr="00766582" w14:paraId="740732CC" w14:textId="77777777" w:rsidTr="007D3DE4">
        <w:trPr>
          <w:trHeight w:val="256"/>
        </w:trPr>
        <w:tc>
          <w:tcPr>
            <w:tcW w:w="1980" w:type="pct"/>
          </w:tcPr>
          <w:p w14:paraId="2ECEE4DF" w14:textId="58527935" w:rsidR="004146B5" w:rsidRPr="002D359A" w:rsidRDefault="004146B5" w:rsidP="004146B5">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1D1D4D4C" w:rsidR="004146B5" w:rsidRPr="00766582" w:rsidRDefault="00043F97" w:rsidP="004146B5">
            <w:pPr>
              <w:rPr>
                <w:rFonts w:ascii="Arial" w:hAnsi="Arial" w:cs="Arial"/>
                <w:snapToGrid w:val="0"/>
                <w:color w:val="000000"/>
              </w:rPr>
            </w:pPr>
            <w:r>
              <w:rPr>
                <w:rFonts w:ascii="Arial" w:hAnsi="Arial" w:cs="Arial"/>
                <w:snapToGrid w:val="0"/>
                <w:color w:val="000000"/>
              </w:rPr>
              <w:t>APPROVED</w:t>
            </w:r>
          </w:p>
        </w:tc>
      </w:tr>
      <w:tr w:rsidR="004146B5" w:rsidRPr="00766582" w14:paraId="0E17A474" w14:textId="77777777" w:rsidTr="007D3DE4">
        <w:trPr>
          <w:trHeight w:val="218"/>
        </w:trPr>
        <w:tc>
          <w:tcPr>
            <w:tcW w:w="1980" w:type="pct"/>
          </w:tcPr>
          <w:p w14:paraId="5334A04A" w14:textId="77777777" w:rsidR="004146B5" w:rsidRPr="002D359A" w:rsidRDefault="004146B5" w:rsidP="004146B5">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66EB6B39" w:rsidR="004146B5" w:rsidRPr="00766582" w:rsidRDefault="00580C4D" w:rsidP="004146B5">
            <w:pPr>
              <w:rPr>
                <w:rFonts w:ascii="Arial" w:hAnsi="Arial" w:cs="Arial"/>
                <w:snapToGrid w:val="0"/>
                <w:color w:val="000000"/>
              </w:rPr>
            </w:pPr>
            <w:r>
              <w:rPr>
                <w:rFonts w:ascii="Arial" w:hAnsi="Arial" w:cs="Arial"/>
                <w:snapToGrid w:val="0"/>
                <w:color w:val="000000"/>
              </w:rPr>
              <w:t>1.0</w:t>
            </w:r>
          </w:p>
        </w:tc>
      </w:tr>
    </w:tbl>
    <w:p w14:paraId="6A634130" w14:textId="77777777" w:rsidR="00DE6587" w:rsidRDefault="00DE6587"/>
    <w:p w14:paraId="714792C9" w14:textId="77777777" w:rsidR="0097581C" w:rsidRPr="0097581C" w:rsidRDefault="0097581C" w:rsidP="0097581C"/>
    <w:p w14:paraId="5666CFB9" w14:textId="77777777" w:rsidR="00211ADC" w:rsidRDefault="00211ADC" w:rsidP="00333A42">
      <w:pPr>
        <w:spacing w:after="0" w:line="240" w:lineRule="auto"/>
        <w:jc w:val="both"/>
        <w:rPr>
          <w:rFonts w:ascii="Arial" w:hAnsi="Arial" w:cs="Arial"/>
          <w:b/>
          <w:bCs/>
          <w:color w:val="003399"/>
          <w:sz w:val="40"/>
          <w:szCs w:val="40"/>
        </w:rPr>
      </w:pPr>
    </w:p>
    <w:p w14:paraId="2F3A743D" w14:textId="77777777" w:rsidR="00211ADC" w:rsidRDefault="00211ADC" w:rsidP="00333A42">
      <w:pPr>
        <w:spacing w:after="0" w:line="240" w:lineRule="auto"/>
        <w:jc w:val="both"/>
        <w:rPr>
          <w:rFonts w:ascii="Arial" w:hAnsi="Arial" w:cs="Arial"/>
          <w:b/>
          <w:bCs/>
          <w:color w:val="003399"/>
          <w:sz w:val="40"/>
          <w:szCs w:val="40"/>
        </w:rPr>
      </w:pPr>
    </w:p>
    <w:p w14:paraId="13F2ED95" w14:textId="413BD3D5"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48739E66" w:rsidR="00333A42" w:rsidRPr="008C4928" w:rsidRDefault="00333A42" w:rsidP="00303E08">
            <w:pPr>
              <w:rPr>
                <w:rFonts w:ascii="Arial" w:hAnsi="Arial" w:cs="Arial"/>
                <w:sz w:val="24"/>
                <w:szCs w:val="24"/>
              </w:rPr>
            </w:pPr>
          </w:p>
        </w:tc>
        <w:tc>
          <w:tcPr>
            <w:tcW w:w="3969" w:type="dxa"/>
          </w:tcPr>
          <w:p w14:paraId="2BA226A1" w14:textId="77777777" w:rsidR="00333A42" w:rsidRPr="008C4928" w:rsidRDefault="00333A42" w:rsidP="00303E08">
            <w:pPr>
              <w:rPr>
                <w:rFonts w:ascii="Arial" w:hAnsi="Arial" w:cs="Arial"/>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8C4928" w:rsidRDefault="00333A42" w:rsidP="00303E08">
            <w:pPr>
              <w:rPr>
                <w:rFonts w:ascii="Arial" w:hAnsi="Arial" w:cs="Arial"/>
                <w:sz w:val="24"/>
                <w:szCs w:val="24"/>
              </w:rPr>
            </w:pPr>
          </w:p>
        </w:tc>
        <w:tc>
          <w:tcPr>
            <w:tcW w:w="3969" w:type="dxa"/>
          </w:tcPr>
          <w:p w14:paraId="0DE4B5B7" w14:textId="77777777" w:rsidR="00333A42" w:rsidRPr="008C4928" w:rsidRDefault="00333A42" w:rsidP="00303E08">
            <w:pPr>
              <w:rPr>
                <w:rFonts w:ascii="Arial" w:hAnsi="Arial" w:cs="Arial"/>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37756980" w:rsidR="00333A42" w:rsidRPr="008C4928" w:rsidRDefault="00333A42" w:rsidP="00303E08">
            <w:pPr>
              <w:rPr>
                <w:rFonts w:ascii="Arial" w:hAnsi="Arial" w:cs="Arial"/>
                <w:sz w:val="24"/>
                <w:szCs w:val="24"/>
              </w:rPr>
            </w:pPr>
          </w:p>
        </w:tc>
        <w:tc>
          <w:tcPr>
            <w:tcW w:w="3969" w:type="dxa"/>
          </w:tcPr>
          <w:p w14:paraId="2DBF0D7D" w14:textId="77777777" w:rsidR="00333A42" w:rsidRPr="008C4928" w:rsidRDefault="00333A42" w:rsidP="00303E08">
            <w:pPr>
              <w:rPr>
                <w:rFonts w:ascii="Arial" w:hAnsi="Arial" w:cs="Arial"/>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1F1876">
        <w:trPr>
          <w:trHeight w:val="3320"/>
        </w:trPr>
        <w:tc>
          <w:tcPr>
            <w:tcW w:w="13948" w:type="dxa"/>
          </w:tcPr>
          <w:p w14:paraId="758CA134" w14:textId="2F114D0A" w:rsidR="00575033" w:rsidRDefault="00575033" w:rsidP="006010FD"/>
          <w:p w14:paraId="66B7ED5A" w14:textId="5A95FC72" w:rsidR="00EA49B2" w:rsidRPr="001F1876" w:rsidRDefault="00EA49B2" w:rsidP="001F1876">
            <w:pPr>
              <w:jc w:val="both"/>
              <w:rPr>
                <w:rFonts w:ascii="Arial" w:hAnsi="Arial" w:cs="Arial"/>
                <w:b w:val="0"/>
                <w:bCs/>
                <w:sz w:val="24"/>
                <w:szCs w:val="24"/>
              </w:rPr>
            </w:pPr>
            <w:r w:rsidRPr="001F1876">
              <w:rPr>
                <w:rFonts w:ascii="Arial" w:hAnsi="Arial" w:cs="Arial"/>
                <w:b w:val="0"/>
                <w:bCs/>
                <w:sz w:val="24"/>
                <w:szCs w:val="24"/>
              </w:rPr>
              <w:t xml:space="preserve">As part of the ongoing Connect Programme within ECC, which is focussed on ensuring services provided to adults within Essex are focussed on delivering the best, </w:t>
            </w:r>
            <w:proofErr w:type="gramStart"/>
            <w:r w:rsidRPr="001F1876">
              <w:rPr>
                <w:rFonts w:ascii="Arial" w:hAnsi="Arial" w:cs="Arial"/>
                <w:b w:val="0"/>
                <w:bCs/>
                <w:sz w:val="24"/>
                <w:szCs w:val="24"/>
              </w:rPr>
              <w:t>safest</w:t>
            </w:r>
            <w:proofErr w:type="gramEnd"/>
            <w:r w:rsidRPr="001F1876">
              <w:rPr>
                <w:rFonts w:ascii="Arial" w:hAnsi="Arial" w:cs="Arial"/>
                <w:b w:val="0"/>
                <w:bCs/>
                <w:sz w:val="24"/>
                <w:szCs w:val="24"/>
              </w:rPr>
              <w:t xml:space="preserve"> and most independent outcomes for older people.</w:t>
            </w:r>
          </w:p>
          <w:p w14:paraId="4476B24A" w14:textId="36F5A3F1" w:rsidR="00EA49B2" w:rsidRPr="001F1876" w:rsidRDefault="00EA49B2" w:rsidP="001F1876">
            <w:pPr>
              <w:jc w:val="both"/>
              <w:rPr>
                <w:rFonts w:ascii="Arial" w:hAnsi="Arial" w:cs="Arial"/>
                <w:b w:val="0"/>
                <w:bCs/>
                <w:sz w:val="24"/>
                <w:szCs w:val="24"/>
              </w:rPr>
            </w:pPr>
          </w:p>
          <w:p w14:paraId="1A331E5E" w14:textId="6F15F79A" w:rsidR="00EA49B2" w:rsidRPr="001F1876" w:rsidRDefault="004E29DE" w:rsidP="001F1876">
            <w:pPr>
              <w:jc w:val="both"/>
              <w:rPr>
                <w:rFonts w:ascii="Arial" w:hAnsi="Arial" w:cs="Arial"/>
                <w:b w:val="0"/>
                <w:bCs/>
                <w:sz w:val="24"/>
                <w:szCs w:val="24"/>
              </w:rPr>
            </w:pPr>
            <w:r w:rsidRPr="001F1876">
              <w:rPr>
                <w:rFonts w:ascii="Arial" w:hAnsi="Arial" w:cs="Arial"/>
                <w:b w:val="0"/>
                <w:bCs/>
                <w:sz w:val="24"/>
                <w:szCs w:val="24"/>
              </w:rPr>
              <w:t xml:space="preserve">This </w:t>
            </w:r>
            <w:r w:rsidR="00EA49B2" w:rsidRPr="001F1876">
              <w:rPr>
                <w:rFonts w:ascii="Arial" w:hAnsi="Arial" w:cs="Arial"/>
                <w:b w:val="0"/>
                <w:bCs/>
                <w:sz w:val="24"/>
                <w:szCs w:val="24"/>
              </w:rPr>
              <w:t xml:space="preserve">ISP is for a </w:t>
            </w:r>
            <w:r w:rsidRPr="001F1876">
              <w:rPr>
                <w:rFonts w:ascii="Arial" w:hAnsi="Arial" w:cs="Arial"/>
                <w:b w:val="0"/>
                <w:bCs/>
                <w:sz w:val="24"/>
                <w:szCs w:val="24"/>
              </w:rPr>
              <w:t>one</w:t>
            </w:r>
            <w:r w:rsidR="00EA49B2" w:rsidRPr="001F1876">
              <w:rPr>
                <w:rFonts w:ascii="Arial" w:hAnsi="Arial" w:cs="Arial"/>
                <w:b w:val="0"/>
                <w:bCs/>
                <w:sz w:val="24"/>
                <w:szCs w:val="24"/>
              </w:rPr>
              <w:t>-</w:t>
            </w:r>
            <w:r w:rsidRPr="001F1876">
              <w:rPr>
                <w:rFonts w:ascii="Arial" w:hAnsi="Arial" w:cs="Arial"/>
                <w:b w:val="0"/>
                <w:bCs/>
                <w:sz w:val="24"/>
                <w:szCs w:val="24"/>
              </w:rPr>
              <w:t>off review</w:t>
            </w:r>
            <w:r w:rsidR="00EA49B2" w:rsidRPr="001F1876">
              <w:rPr>
                <w:rFonts w:ascii="Arial" w:hAnsi="Arial" w:cs="Arial"/>
                <w:b w:val="0"/>
                <w:bCs/>
                <w:sz w:val="24"/>
                <w:szCs w:val="24"/>
              </w:rPr>
              <w:t xml:space="preserve"> of information regarding adults who have received a</w:t>
            </w:r>
            <w:r w:rsidR="00C21026" w:rsidRPr="001F1876">
              <w:rPr>
                <w:rFonts w:ascii="Arial" w:hAnsi="Arial" w:cs="Arial"/>
                <w:b w:val="0"/>
                <w:bCs/>
                <w:sz w:val="24"/>
                <w:szCs w:val="24"/>
              </w:rPr>
              <w:t xml:space="preserve"> reablement service</w:t>
            </w:r>
            <w:r w:rsidR="00EA49B2" w:rsidRPr="001F1876">
              <w:rPr>
                <w:rFonts w:ascii="Arial" w:hAnsi="Arial" w:cs="Arial"/>
                <w:b w:val="0"/>
                <w:bCs/>
                <w:sz w:val="24"/>
                <w:szCs w:val="24"/>
              </w:rPr>
              <w:t xml:space="preserve"> in the </w:t>
            </w:r>
            <w:r w:rsidR="00C21026" w:rsidRPr="001F1876">
              <w:rPr>
                <w:rFonts w:ascii="Arial" w:hAnsi="Arial" w:cs="Arial"/>
                <w:b w:val="0"/>
                <w:bCs/>
                <w:sz w:val="24"/>
                <w:szCs w:val="24"/>
              </w:rPr>
              <w:t>period</w:t>
            </w:r>
            <w:r w:rsidR="00EA49B2" w:rsidRPr="001F1876">
              <w:rPr>
                <w:rFonts w:ascii="Arial" w:hAnsi="Arial" w:cs="Arial"/>
                <w:b w:val="0"/>
                <w:bCs/>
                <w:sz w:val="24"/>
                <w:szCs w:val="24"/>
              </w:rPr>
              <w:t xml:space="preserve"> 30 November 2022 through to 31 January 2023, which will take place in </w:t>
            </w:r>
            <w:r w:rsidRPr="001F1876">
              <w:rPr>
                <w:rFonts w:ascii="Arial" w:hAnsi="Arial" w:cs="Arial"/>
                <w:b w:val="0"/>
                <w:bCs/>
                <w:sz w:val="24"/>
                <w:szCs w:val="24"/>
              </w:rPr>
              <w:t>each quadrant area</w:t>
            </w:r>
            <w:r w:rsidR="00EA49B2" w:rsidRPr="001F1876">
              <w:rPr>
                <w:rFonts w:ascii="Arial" w:hAnsi="Arial" w:cs="Arial"/>
                <w:b w:val="0"/>
                <w:bCs/>
                <w:sz w:val="24"/>
                <w:szCs w:val="24"/>
              </w:rPr>
              <w:t xml:space="preserve"> within Essex (North, South-West, South-East, Mid, West).</w:t>
            </w:r>
          </w:p>
          <w:p w14:paraId="0721EA7E" w14:textId="77777777" w:rsidR="00EA49B2" w:rsidRPr="001F1876" w:rsidRDefault="00EA49B2" w:rsidP="001F1876">
            <w:pPr>
              <w:jc w:val="both"/>
              <w:rPr>
                <w:rFonts w:ascii="Arial" w:hAnsi="Arial" w:cs="Arial"/>
                <w:b w:val="0"/>
                <w:bCs/>
                <w:sz w:val="24"/>
                <w:szCs w:val="24"/>
              </w:rPr>
            </w:pPr>
          </w:p>
          <w:p w14:paraId="316E7C51" w14:textId="384E31CA" w:rsidR="006010FD" w:rsidRPr="001F1876" w:rsidRDefault="00EA49B2" w:rsidP="001F1876">
            <w:pPr>
              <w:jc w:val="both"/>
              <w:rPr>
                <w:rFonts w:ascii="Arial" w:hAnsi="Arial" w:cs="Arial"/>
                <w:b w:val="0"/>
                <w:bCs/>
                <w:sz w:val="24"/>
                <w:szCs w:val="24"/>
              </w:rPr>
            </w:pPr>
            <w:r w:rsidRPr="001F1876">
              <w:rPr>
                <w:rFonts w:ascii="Arial" w:hAnsi="Arial" w:cs="Arial"/>
                <w:b w:val="0"/>
                <w:bCs/>
                <w:sz w:val="24"/>
                <w:szCs w:val="24"/>
              </w:rPr>
              <w:t>The purpose of this review is to</w:t>
            </w:r>
            <w:r w:rsidR="004E29DE" w:rsidRPr="001F1876">
              <w:rPr>
                <w:rFonts w:ascii="Arial" w:hAnsi="Arial" w:cs="Arial"/>
                <w:b w:val="0"/>
                <w:bCs/>
                <w:sz w:val="24"/>
                <w:szCs w:val="24"/>
              </w:rPr>
              <w:t xml:space="preserve"> help understand why the number of </w:t>
            </w:r>
            <w:r w:rsidRPr="001F1876">
              <w:rPr>
                <w:rFonts w:ascii="Arial" w:hAnsi="Arial" w:cs="Arial"/>
                <w:b w:val="0"/>
                <w:bCs/>
                <w:sz w:val="24"/>
                <w:szCs w:val="24"/>
              </w:rPr>
              <w:t xml:space="preserve">new packages </w:t>
            </w:r>
            <w:r w:rsidR="004E29DE" w:rsidRPr="001F1876">
              <w:rPr>
                <w:rFonts w:ascii="Arial" w:hAnsi="Arial" w:cs="Arial"/>
                <w:b w:val="0"/>
                <w:bCs/>
                <w:sz w:val="24"/>
                <w:szCs w:val="24"/>
              </w:rPr>
              <w:t>offered are not increasing despite Length of Stay and Effectiveness now broadly at or above target</w:t>
            </w:r>
            <w:r w:rsidRPr="001F1876">
              <w:rPr>
                <w:rFonts w:ascii="Arial" w:hAnsi="Arial" w:cs="Arial"/>
                <w:b w:val="0"/>
                <w:bCs/>
                <w:sz w:val="24"/>
                <w:szCs w:val="24"/>
              </w:rPr>
              <w:t>.</w:t>
            </w:r>
          </w:p>
          <w:p w14:paraId="504B34F4" w14:textId="583A0A4E" w:rsidR="00EA49B2" w:rsidRPr="001F1876" w:rsidRDefault="00EA49B2" w:rsidP="001F1876">
            <w:pPr>
              <w:jc w:val="both"/>
              <w:rPr>
                <w:rFonts w:ascii="Arial" w:hAnsi="Arial" w:cs="Arial"/>
                <w:b w:val="0"/>
                <w:bCs/>
                <w:sz w:val="24"/>
                <w:szCs w:val="24"/>
              </w:rPr>
            </w:pPr>
          </w:p>
          <w:p w14:paraId="16009109" w14:textId="2AD8D4B2" w:rsidR="00EA49B2" w:rsidRPr="001F1876" w:rsidRDefault="00EA49B2" w:rsidP="001F1876">
            <w:pPr>
              <w:jc w:val="both"/>
              <w:rPr>
                <w:rFonts w:ascii="Arial" w:hAnsi="Arial" w:cs="Arial"/>
                <w:b w:val="0"/>
                <w:bCs/>
                <w:sz w:val="24"/>
                <w:szCs w:val="24"/>
              </w:rPr>
            </w:pPr>
            <w:r w:rsidRPr="001F1876">
              <w:rPr>
                <w:rFonts w:ascii="Arial" w:hAnsi="Arial" w:cs="Arial"/>
                <w:b w:val="0"/>
                <w:bCs/>
                <w:sz w:val="24"/>
                <w:szCs w:val="24"/>
              </w:rPr>
              <w:t xml:space="preserve">Once the information has been shared to build the picture of the </w:t>
            </w:r>
            <w:r w:rsidR="00C21026" w:rsidRPr="001F1876">
              <w:rPr>
                <w:rFonts w:ascii="Arial" w:hAnsi="Arial" w:cs="Arial"/>
                <w:b w:val="0"/>
                <w:bCs/>
                <w:sz w:val="24"/>
                <w:szCs w:val="24"/>
              </w:rPr>
              <w:t>adults’</w:t>
            </w:r>
            <w:r w:rsidRPr="001F1876">
              <w:rPr>
                <w:rFonts w:ascii="Arial" w:hAnsi="Arial" w:cs="Arial"/>
                <w:b w:val="0"/>
                <w:bCs/>
                <w:sz w:val="24"/>
                <w:szCs w:val="24"/>
              </w:rPr>
              <w:t xml:space="preserve"> journey through the health and social care system at the time leading up to and post the Reablement Service, the information will be anonymised, and used to drive immediate and </w:t>
            </w:r>
            <w:proofErr w:type="gramStart"/>
            <w:r w:rsidRPr="001F1876">
              <w:rPr>
                <w:rFonts w:ascii="Arial" w:hAnsi="Arial" w:cs="Arial"/>
                <w:b w:val="0"/>
                <w:bCs/>
                <w:sz w:val="24"/>
                <w:szCs w:val="24"/>
              </w:rPr>
              <w:t>medium term</w:t>
            </w:r>
            <w:proofErr w:type="gramEnd"/>
            <w:r w:rsidRPr="001F1876">
              <w:rPr>
                <w:rFonts w:ascii="Arial" w:hAnsi="Arial" w:cs="Arial"/>
                <w:b w:val="0"/>
                <w:bCs/>
                <w:sz w:val="24"/>
                <w:szCs w:val="24"/>
              </w:rPr>
              <w:t xml:space="preserve"> service development activity.</w:t>
            </w:r>
          </w:p>
          <w:p w14:paraId="6DA034FC" w14:textId="5D74A07D" w:rsidR="00EA49B2" w:rsidRDefault="00EA49B2" w:rsidP="004E29DE"/>
        </w:tc>
      </w:tr>
    </w:tbl>
    <w:p w14:paraId="356BCCD8" w14:textId="039E47BA" w:rsidR="004E29DE" w:rsidRDefault="004E29DE" w:rsidP="006010FD"/>
    <w:p w14:paraId="6A324D8F" w14:textId="708A042D" w:rsidR="004E29DE" w:rsidRDefault="004E29DE" w:rsidP="006010FD"/>
    <w:p w14:paraId="79CF1F24" w14:textId="19EA9E64" w:rsidR="00211ADC" w:rsidRDefault="00211ADC" w:rsidP="006010FD"/>
    <w:p w14:paraId="58CB34F9" w14:textId="06BC1BB6" w:rsidR="00211ADC" w:rsidRDefault="00211ADC" w:rsidP="006010FD"/>
    <w:p w14:paraId="797FD421" w14:textId="37F9ECFA" w:rsidR="00211ADC" w:rsidRDefault="00211ADC" w:rsidP="006010FD"/>
    <w:p w14:paraId="0A04F762" w14:textId="7B9325CB" w:rsidR="00211ADC" w:rsidRDefault="00211ADC" w:rsidP="006010FD"/>
    <w:p w14:paraId="571DC99E" w14:textId="2CCC8964" w:rsidR="00211ADC" w:rsidRDefault="00211ADC" w:rsidP="006010FD"/>
    <w:p w14:paraId="78AEB915" w14:textId="77777777" w:rsidR="00211ADC" w:rsidRDefault="00211ADC" w:rsidP="006010FD"/>
    <w:p w14:paraId="4C716122" w14:textId="7FD62CF5" w:rsidR="006C0939" w:rsidRPr="003D1BCC" w:rsidRDefault="003D1BCC" w:rsidP="003D1BCC">
      <w:pPr>
        <w:pStyle w:val="Heading1"/>
        <w:rPr>
          <w:sz w:val="52"/>
          <w:szCs w:val="24"/>
        </w:rPr>
      </w:pPr>
      <w:r>
        <w:rPr>
          <w:noProof/>
        </w:rPr>
        <mc:AlternateContent>
          <mc:Choice Requires="wps">
            <w:drawing>
              <wp:inline distT="0" distB="0" distL="0" distR="0" wp14:anchorId="328C0599" wp14:editId="271603AC">
                <wp:extent cx="8848090" cy="6013450"/>
                <wp:effectExtent l="0" t="0" r="10160" b="25400"/>
                <wp:docPr id="1" name="Text Box 1"/>
                <wp:cNvGraphicFramePr/>
                <a:graphic xmlns:a="http://schemas.openxmlformats.org/drawingml/2006/main">
                  <a:graphicData uri="http://schemas.microsoft.com/office/word/2010/wordprocessingShape">
                    <wps:wsp>
                      <wps:cNvSpPr txBox="1"/>
                      <wps:spPr>
                        <a:xfrm>
                          <a:off x="0" y="0"/>
                          <a:ext cx="8848090" cy="6013450"/>
                        </a:xfrm>
                        <a:prstGeom prst="rect">
                          <a:avLst/>
                        </a:prstGeom>
                        <a:noFill/>
                        <a:ln w="6350">
                          <a:solidFill>
                            <a:prstClr val="black"/>
                          </a:solidFill>
                        </a:ln>
                      </wps:spPr>
                      <wps:txbx>
                        <w:txbxContent>
                          <w:p w14:paraId="0407AAC2" w14:textId="77777777" w:rsidR="00211ADC" w:rsidRDefault="00211ADC" w:rsidP="00211ADC">
                            <w:r w:rsidRPr="00B530EC">
                              <w:rPr>
                                <w:rStyle w:val="Hyperlink"/>
                                <w:color w:val="auto"/>
                                <w:sz w:val="52"/>
                                <w:szCs w:val="24"/>
                              </w:rPr>
                              <w:t>2 – Information to be shared</w:t>
                            </w:r>
                          </w:p>
                          <w:p w14:paraId="319A521A" w14:textId="2C1A5973" w:rsidR="003D1BCC" w:rsidRDefault="003D1BCC" w:rsidP="004146B5">
                            <w:pPr>
                              <w:spacing w:after="0"/>
                              <w:rPr>
                                <w:rFonts w:ascii="Arial" w:hAnsi="Arial" w:cs="Arial"/>
                                <w:sz w:val="24"/>
                                <w:szCs w:val="24"/>
                              </w:rPr>
                            </w:pPr>
                          </w:p>
                          <w:p w14:paraId="199E71C6" w14:textId="2719D119" w:rsidR="00E51192" w:rsidRDefault="00EA49B2" w:rsidP="004146B5">
                            <w:pPr>
                              <w:spacing w:after="0"/>
                              <w:rPr>
                                <w:rFonts w:ascii="Arial" w:hAnsi="Arial" w:cs="Arial"/>
                                <w:sz w:val="24"/>
                                <w:szCs w:val="24"/>
                              </w:rPr>
                            </w:pPr>
                            <w:r>
                              <w:rPr>
                                <w:rFonts w:ascii="Arial" w:hAnsi="Arial" w:cs="Arial"/>
                                <w:sz w:val="24"/>
                                <w:szCs w:val="24"/>
                              </w:rPr>
                              <w:t>Initially a list of Access Reference Numbers</w:t>
                            </w:r>
                            <w:r w:rsidR="00E51192">
                              <w:rPr>
                                <w:rFonts w:ascii="Arial" w:hAnsi="Arial" w:cs="Arial"/>
                                <w:sz w:val="24"/>
                                <w:szCs w:val="24"/>
                              </w:rPr>
                              <w:t xml:space="preserve"> and the date of exit from service </w:t>
                            </w:r>
                            <w:r>
                              <w:rPr>
                                <w:rFonts w:ascii="Arial" w:hAnsi="Arial" w:cs="Arial"/>
                                <w:sz w:val="24"/>
                                <w:szCs w:val="24"/>
                              </w:rPr>
                              <w:t xml:space="preserve">for adults who have </w:t>
                            </w:r>
                            <w:r w:rsidR="00E51192">
                              <w:rPr>
                                <w:rFonts w:ascii="Arial" w:hAnsi="Arial" w:cs="Arial"/>
                                <w:sz w:val="24"/>
                                <w:szCs w:val="24"/>
                              </w:rPr>
                              <w:t>left the ECL</w:t>
                            </w:r>
                            <w:r>
                              <w:rPr>
                                <w:rFonts w:ascii="Arial" w:hAnsi="Arial" w:cs="Arial"/>
                                <w:sz w:val="24"/>
                                <w:szCs w:val="24"/>
                              </w:rPr>
                              <w:t xml:space="preserve"> Reablement Service between the dates </w:t>
                            </w:r>
                            <w:r w:rsidR="00E51192">
                              <w:rPr>
                                <w:rFonts w:ascii="Arial" w:hAnsi="Arial" w:cs="Arial"/>
                                <w:sz w:val="24"/>
                                <w:szCs w:val="24"/>
                              </w:rPr>
                              <w:t>7</w:t>
                            </w:r>
                            <w:r w:rsidR="00E51192" w:rsidRPr="001F1876">
                              <w:rPr>
                                <w:rFonts w:ascii="Arial" w:hAnsi="Arial" w:cs="Arial"/>
                                <w:sz w:val="24"/>
                                <w:szCs w:val="24"/>
                                <w:vertAlign w:val="superscript"/>
                              </w:rPr>
                              <w:t>th</w:t>
                            </w:r>
                            <w:r w:rsidR="00E51192">
                              <w:rPr>
                                <w:rFonts w:ascii="Arial" w:hAnsi="Arial" w:cs="Arial"/>
                                <w:sz w:val="24"/>
                                <w:szCs w:val="24"/>
                              </w:rPr>
                              <w:t xml:space="preserve"> Jan 2023 to 28th Feb 2023</w:t>
                            </w:r>
                            <w:r>
                              <w:rPr>
                                <w:rFonts w:ascii="Arial" w:hAnsi="Arial" w:cs="Arial"/>
                                <w:sz w:val="24"/>
                                <w:szCs w:val="24"/>
                              </w:rPr>
                              <w:t xml:space="preserve"> will be shared.  From this the Connect Programme will randomly select 14 records to review in more detail for each of the quadrants.</w:t>
                            </w:r>
                            <w:r w:rsidR="00E51192">
                              <w:rPr>
                                <w:rFonts w:ascii="Arial" w:hAnsi="Arial" w:cs="Arial"/>
                                <w:sz w:val="24"/>
                                <w:szCs w:val="24"/>
                              </w:rPr>
                              <w:t xml:space="preserve">  Following selection of these 14 adults, the below information will be shared by ECL with Connect staff, to allow pre-work to be completed:</w:t>
                            </w:r>
                          </w:p>
                          <w:p w14:paraId="6BDA83B2" w14:textId="7A712830" w:rsidR="00E51192" w:rsidRDefault="00E51192" w:rsidP="004146B5">
                            <w:pPr>
                              <w:spacing w:after="0"/>
                              <w:rPr>
                                <w:rFonts w:ascii="Arial" w:hAnsi="Arial" w:cs="Arial"/>
                                <w:sz w:val="24"/>
                                <w:szCs w:val="24"/>
                              </w:rPr>
                            </w:pPr>
                          </w:p>
                          <w:p w14:paraId="7765772B" w14:textId="77777777" w:rsidR="00E51192" w:rsidRPr="004146B5" w:rsidRDefault="00E51192" w:rsidP="00E51192">
                            <w:pPr>
                              <w:pStyle w:val="ListParagraph"/>
                              <w:numPr>
                                <w:ilvl w:val="0"/>
                                <w:numId w:val="15"/>
                              </w:numPr>
                            </w:pPr>
                            <w:r w:rsidRPr="00CD4874">
                              <w:rPr>
                                <w:rFonts w:ascii="Arial" w:hAnsi="Arial" w:cs="Arial"/>
                                <w:sz w:val="24"/>
                                <w:szCs w:val="24"/>
                              </w:rPr>
                              <w:t>A way for ECC to identify the adult, either of the below:</w:t>
                            </w:r>
                          </w:p>
                          <w:p w14:paraId="0A999599" w14:textId="77777777" w:rsidR="00E51192" w:rsidRPr="001F1876" w:rsidRDefault="00E51192" w:rsidP="00E51192">
                            <w:pPr>
                              <w:pStyle w:val="ListParagraph"/>
                              <w:numPr>
                                <w:ilvl w:val="0"/>
                                <w:numId w:val="15"/>
                              </w:numPr>
                            </w:pPr>
                            <w:r w:rsidRPr="001F1876">
                              <w:rPr>
                                <w:rFonts w:ascii="Arial" w:hAnsi="Arial" w:cs="Arial"/>
                                <w:sz w:val="24"/>
                                <w:szCs w:val="24"/>
                              </w:rPr>
                              <w:t>Mosaic number</w:t>
                            </w:r>
                          </w:p>
                          <w:p w14:paraId="410CD47E" w14:textId="77777777" w:rsidR="00E51192" w:rsidRPr="001F1876" w:rsidRDefault="00E51192" w:rsidP="00E51192">
                            <w:pPr>
                              <w:pStyle w:val="ListParagraph"/>
                              <w:numPr>
                                <w:ilvl w:val="0"/>
                                <w:numId w:val="15"/>
                              </w:numPr>
                              <w:spacing w:after="0"/>
                              <w:rPr>
                                <w:rFonts w:ascii="Arial" w:hAnsi="Arial" w:cs="Arial"/>
                                <w:sz w:val="24"/>
                                <w:szCs w:val="24"/>
                              </w:rPr>
                            </w:pPr>
                            <w:r w:rsidRPr="001F1876">
                              <w:rPr>
                                <w:rFonts w:ascii="Arial" w:hAnsi="Arial" w:cs="Arial"/>
                                <w:sz w:val="24"/>
                                <w:szCs w:val="24"/>
                              </w:rPr>
                              <w:t>Name, Access Reference Number, Date of birth, and Post Code</w:t>
                            </w:r>
                          </w:p>
                          <w:p w14:paraId="621FA3E9" w14:textId="77777777" w:rsidR="00E51192" w:rsidRDefault="00E51192" w:rsidP="004146B5">
                            <w:pPr>
                              <w:spacing w:after="0"/>
                              <w:rPr>
                                <w:rFonts w:ascii="Arial" w:hAnsi="Arial" w:cs="Arial"/>
                                <w:sz w:val="24"/>
                                <w:szCs w:val="24"/>
                              </w:rPr>
                            </w:pPr>
                          </w:p>
                          <w:p w14:paraId="67921B25" w14:textId="77777777" w:rsidR="00E51192" w:rsidRDefault="00E51192" w:rsidP="004146B5">
                            <w:pPr>
                              <w:spacing w:after="0"/>
                              <w:rPr>
                                <w:rFonts w:ascii="Arial" w:hAnsi="Arial" w:cs="Arial"/>
                                <w:sz w:val="24"/>
                                <w:szCs w:val="24"/>
                              </w:rPr>
                            </w:pPr>
                          </w:p>
                          <w:p w14:paraId="795441D6" w14:textId="14BEC9EC" w:rsidR="00EA49B2" w:rsidRDefault="00E51192" w:rsidP="004146B5">
                            <w:pPr>
                              <w:spacing w:after="0"/>
                              <w:rPr>
                                <w:rFonts w:ascii="Arial" w:hAnsi="Arial" w:cs="Arial"/>
                                <w:sz w:val="24"/>
                                <w:szCs w:val="24"/>
                              </w:rPr>
                            </w:pPr>
                            <w:r>
                              <w:rPr>
                                <w:rFonts w:ascii="Arial" w:hAnsi="Arial" w:cs="Arial"/>
                                <w:sz w:val="24"/>
                                <w:szCs w:val="24"/>
                              </w:rPr>
                              <w:t>There will then be a discussion between ECL And ECC regarding the</w:t>
                            </w:r>
                            <w:r w:rsidR="00EA49B2">
                              <w:rPr>
                                <w:rFonts w:ascii="Arial" w:hAnsi="Arial" w:cs="Arial"/>
                                <w:sz w:val="24"/>
                                <w:szCs w:val="24"/>
                              </w:rPr>
                              <w:t xml:space="preserve"> </w:t>
                            </w:r>
                            <w:r>
                              <w:rPr>
                                <w:rFonts w:ascii="Arial" w:hAnsi="Arial" w:cs="Arial"/>
                                <w:sz w:val="24"/>
                                <w:szCs w:val="24"/>
                              </w:rPr>
                              <w:t>14 identified adults, in this discussion the below will be shared:</w:t>
                            </w:r>
                          </w:p>
                          <w:p w14:paraId="6A48B814" w14:textId="77777777" w:rsidR="004146B5" w:rsidRPr="004146B5" w:rsidRDefault="004146B5" w:rsidP="004146B5">
                            <w:pPr>
                              <w:spacing w:after="0"/>
                              <w:rPr>
                                <w:rFonts w:ascii="Arial" w:hAnsi="Arial" w:cs="Arial"/>
                                <w:sz w:val="24"/>
                                <w:szCs w:val="24"/>
                              </w:rPr>
                            </w:pPr>
                          </w:p>
                          <w:p w14:paraId="69E22287" w14:textId="2021E907" w:rsidR="004146B5" w:rsidRP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Care package details at start of service e.g. number of visits, days, number of carers, hours of support.</w:t>
                            </w:r>
                          </w:p>
                          <w:p w14:paraId="12090DE2" w14:textId="74D74D5E" w:rsidR="004146B5" w:rsidRP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Assessment information e.g. goals to be achieved during the service and presenting initial need</w:t>
                            </w:r>
                          </w:p>
                          <w:p w14:paraId="33846B81" w14:textId="00AB8812" w:rsidR="004146B5" w:rsidRP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Visit notes which detail any changes to support during the service</w:t>
                            </w:r>
                          </w:p>
                          <w:p w14:paraId="4F8FC76C" w14:textId="02BFF6C7" w:rsidR="004146B5" w:rsidRP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Therapy assessments completed including any equipment which has been ordered or supplied</w:t>
                            </w:r>
                          </w:p>
                          <w:p w14:paraId="2BF84D62" w14:textId="15E42755" w:rsid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Reviews completed including care package details through service where changes from initial package details, e.g. number of visits, days, number of carers, hours of support, and where goals may have been met</w:t>
                            </w:r>
                          </w:p>
                          <w:p w14:paraId="386E113E" w14:textId="77777777" w:rsidR="004146B5" w:rsidRDefault="004146B5" w:rsidP="00423DE9">
                            <w:pPr>
                              <w:pStyle w:val="ListParagraph"/>
                              <w:numPr>
                                <w:ilvl w:val="0"/>
                                <w:numId w:val="15"/>
                              </w:numPr>
                              <w:spacing w:after="0"/>
                              <w:rPr>
                                <w:rFonts w:ascii="Arial" w:hAnsi="Arial" w:cs="Arial"/>
                                <w:sz w:val="24"/>
                                <w:szCs w:val="24"/>
                              </w:rPr>
                            </w:pPr>
                            <w:r>
                              <w:rPr>
                                <w:rFonts w:ascii="Arial" w:hAnsi="Arial" w:cs="Arial"/>
                                <w:sz w:val="24"/>
                                <w:szCs w:val="24"/>
                              </w:rPr>
                              <w:t>Date service expected to end</w:t>
                            </w:r>
                          </w:p>
                          <w:p w14:paraId="196AEBDD" w14:textId="551F0C42" w:rsidR="004146B5" w:rsidRDefault="004146B5" w:rsidP="00423DE9">
                            <w:pPr>
                              <w:pStyle w:val="ListParagraph"/>
                              <w:numPr>
                                <w:ilvl w:val="0"/>
                                <w:numId w:val="15"/>
                              </w:numPr>
                              <w:spacing w:after="0"/>
                              <w:rPr>
                                <w:rFonts w:ascii="Arial" w:hAnsi="Arial" w:cs="Arial"/>
                                <w:sz w:val="24"/>
                                <w:szCs w:val="24"/>
                              </w:rPr>
                            </w:pPr>
                            <w:r w:rsidRPr="004146B5">
                              <w:rPr>
                                <w:rFonts w:ascii="Arial" w:hAnsi="Arial" w:cs="Arial"/>
                                <w:sz w:val="24"/>
                                <w:szCs w:val="24"/>
                              </w:rPr>
                              <w:t xml:space="preserve">Date service </w:t>
                            </w:r>
                            <w:r>
                              <w:rPr>
                                <w:rFonts w:ascii="Arial" w:hAnsi="Arial" w:cs="Arial"/>
                                <w:sz w:val="24"/>
                                <w:szCs w:val="24"/>
                              </w:rPr>
                              <w:t xml:space="preserve">actually </w:t>
                            </w:r>
                            <w:r w:rsidRPr="004146B5">
                              <w:rPr>
                                <w:rFonts w:ascii="Arial" w:hAnsi="Arial" w:cs="Arial"/>
                                <w:sz w:val="24"/>
                                <w:szCs w:val="24"/>
                              </w:rPr>
                              <w:t>ended and care support required at end of service</w:t>
                            </w:r>
                          </w:p>
                          <w:p w14:paraId="5DB2CBD2" w14:textId="77777777" w:rsidR="00EA49B2" w:rsidRPr="001F1876" w:rsidRDefault="00EA49B2" w:rsidP="001F1876">
                            <w:pPr>
                              <w:spacing w:after="0"/>
                              <w:rPr>
                                <w:rFonts w:ascii="Arial" w:hAnsi="Arial" w:cs="Arial"/>
                                <w:sz w:val="24"/>
                                <w:szCs w:val="24"/>
                              </w:rPr>
                            </w:pPr>
                          </w:p>
                          <w:p w14:paraId="791C0E28" w14:textId="3FB95126" w:rsidR="004146B5" w:rsidRDefault="004146B5" w:rsidP="004146B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C0599" id="_x0000_t202" coordsize="21600,21600" o:spt="202" path="m,l,21600r21600,l21600,xe">
                <v:stroke joinstyle="miter"/>
                <v:path gradientshapeok="t" o:connecttype="rect"/>
              </v:shapetype>
              <v:shape id="Text Box 1" o:spid="_x0000_s1026" type="#_x0000_t202" style="width:696.7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" filled="f" strokeweight=".5pt">
                <v:textbox>
                  <w:txbxContent>
                    <w:p w14:paraId="0407AAC2" w14:textId="77777777" w:rsidR="00211ADC" w:rsidRDefault="00211ADC" w:rsidP="00211ADC">
                      <w:r w:rsidRPr="00B530EC">
                        <w:rPr>
                          <w:rStyle w:val="Hyperlink"/>
                          <w:color w:val="auto"/>
                          <w:sz w:val="52"/>
                          <w:szCs w:val="24"/>
                        </w:rPr>
                        <w:t>2 – Information to be shared</w:t>
                      </w:r>
                    </w:p>
                    <w:p w14:paraId="319A521A" w14:textId="2C1A5973" w:rsidR="003D1BCC" w:rsidRDefault="003D1BCC" w:rsidP="004146B5">
                      <w:pPr>
                        <w:spacing w:after="0"/>
                        <w:rPr>
                          <w:rFonts w:ascii="Arial" w:hAnsi="Arial" w:cs="Arial"/>
                          <w:sz w:val="24"/>
                          <w:szCs w:val="24"/>
                        </w:rPr>
                      </w:pPr>
                    </w:p>
                    <w:p w14:paraId="199E71C6" w14:textId="2719D119" w:rsidR="00E51192" w:rsidRDefault="00EA49B2" w:rsidP="004146B5">
                      <w:pPr>
                        <w:spacing w:after="0"/>
                        <w:rPr>
                          <w:rFonts w:ascii="Arial" w:hAnsi="Arial" w:cs="Arial"/>
                          <w:sz w:val="24"/>
                          <w:szCs w:val="24"/>
                        </w:rPr>
                      </w:pPr>
                      <w:r>
                        <w:rPr>
                          <w:rFonts w:ascii="Arial" w:hAnsi="Arial" w:cs="Arial"/>
                          <w:sz w:val="24"/>
                          <w:szCs w:val="24"/>
                        </w:rPr>
                        <w:t>Initially a list of Access Reference Numbers</w:t>
                      </w:r>
                      <w:r w:rsidR="00E51192">
                        <w:rPr>
                          <w:rFonts w:ascii="Arial" w:hAnsi="Arial" w:cs="Arial"/>
                          <w:sz w:val="24"/>
                          <w:szCs w:val="24"/>
                        </w:rPr>
                        <w:t xml:space="preserve"> and the date of exit from service </w:t>
                      </w:r>
                      <w:r>
                        <w:rPr>
                          <w:rFonts w:ascii="Arial" w:hAnsi="Arial" w:cs="Arial"/>
                          <w:sz w:val="24"/>
                          <w:szCs w:val="24"/>
                        </w:rPr>
                        <w:t xml:space="preserve">for adults who have </w:t>
                      </w:r>
                      <w:r w:rsidR="00E51192">
                        <w:rPr>
                          <w:rFonts w:ascii="Arial" w:hAnsi="Arial" w:cs="Arial"/>
                          <w:sz w:val="24"/>
                          <w:szCs w:val="24"/>
                        </w:rPr>
                        <w:t>left the ECL</w:t>
                      </w:r>
                      <w:r>
                        <w:rPr>
                          <w:rFonts w:ascii="Arial" w:hAnsi="Arial" w:cs="Arial"/>
                          <w:sz w:val="24"/>
                          <w:szCs w:val="24"/>
                        </w:rPr>
                        <w:t xml:space="preserve"> Reablement Service between the dates </w:t>
                      </w:r>
                      <w:r w:rsidR="00E51192">
                        <w:rPr>
                          <w:rFonts w:ascii="Arial" w:hAnsi="Arial" w:cs="Arial"/>
                          <w:sz w:val="24"/>
                          <w:szCs w:val="24"/>
                        </w:rPr>
                        <w:t>7</w:t>
                      </w:r>
                      <w:r w:rsidR="00E51192" w:rsidRPr="001F1876">
                        <w:rPr>
                          <w:rFonts w:ascii="Arial" w:hAnsi="Arial" w:cs="Arial"/>
                          <w:sz w:val="24"/>
                          <w:szCs w:val="24"/>
                          <w:vertAlign w:val="superscript"/>
                        </w:rPr>
                        <w:t>th</w:t>
                      </w:r>
                      <w:r w:rsidR="00E51192">
                        <w:rPr>
                          <w:rFonts w:ascii="Arial" w:hAnsi="Arial" w:cs="Arial"/>
                          <w:sz w:val="24"/>
                          <w:szCs w:val="24"/>
                        </w:rPr>
                        <w:t xml:space="preserve"> Jan 2023 to 28th Feb 2023</w:t>
                      </w:r>
                      <w:r>
                        <w:rPr>
                          <w:rFonts w:ascii="Arial" w:hAnsi="Arial" w:cs="Arial"/>
                          <w:sz w:val="24"/>
                          <w:szCs w:val="24"/>
                        </w:rPr>
                        <w:t xml:space="preserve"> will be shared.  From this the Connect Programme will randomly select 14 records to review in more detail for each of the quadrants.</w:t>
                      </w:r>
                      <w:r w:rsidR="00E51192">
                        <w:rPr>
                          <w:rFonts w:ascii="Arial" w:hAnsi="Arial" w:cs="Arial"/>
                          <w:sz w:val="24"/>
                          <w:szCs w:val="24"/>
                        </w:rPr>
                        <w:t xml:space="preserve">  Following selection of these 14 adults, the below information will be shared by ECL with Connect staff, to allow pre-work to be completed:</w:t>
                      </w:r>
                    </w:p>
                    <w:p w14:paraId="6BDA83B2" w14:textId="7A712830" w:rsidR="00E51192" w:rsidRDefault="00E51192" w:rsidP="004146B5">
                      <w:pPr>
                        <w:spacing w:after="0"/>
                        <w:rPr>
                          <w:rFonts w:ascii="Arial" w:hAnsi="Arial" w:cs="Arial"/>
                          <w:sz w:val="24"/>
                          <w:szCs w:val="24"/>
                        </w:rPr>
                      </w:pPr>
                    </w:p>
                    <w:p w14:paraId="7765772B" w14:textId="77777777" w:rsidR="00E51192" w:rsidRPr="004146B5" w:rsidRDefault="00E51192" w:rsidP="00E51192">
                      <w:pPr>
                        <w:pStyle w:val="ListParagraph"/>
                        <w:numPr>
                          <w:ilvl w:val="0"/>
                          <w:numId w:val="15"/>
                        </w:numPr>
                      </w:pPr>
                      <w:r w:rsidRPr="00CD4874">
                        <w:rPr>
                          <w:rFonts w:ascii="Arial" w:hAnsi="Arial" w:cs="Arial"/>
                          <w:sz w:val="24"/>
                          <w:szCs w:val="24"/>
                        </w:rPr>
                        <w:t>A way for ECC to identify the adult, either of the below:</w:t>
                      </w:r>
                    </w:p>
                    <w:p w14:paraId="0A999599" w14:textId="77777777" w:rsidR="00E51192" w:rsidRPr="001F1876" w:rsidRDefault="00E51192" w:rsidP="00E51192">
                      <w:pPr>
                        <w:pStyle w:val="ListParagraph"/>
                        <w:numPr>
                          <w:ilvl w:val="0"/>
                          <w:numId w:val="15"/>
                        </w:numPr>
                      </w:pPr>
                      <w:r w:rsidRPr="001F1876">
                        <w:rPr>
                          <w:rFonts w:ascii="Arial" w:hAnsi="Arial" w:cs="Arial"/>
                          <w:sz w:val="24"/>
                          <w:szCs w:val="24"/>
                        </w:rPr>
                        <w:t>Mosaic number</w:t>
                      </w:r>
                    </w:p>
                    <w:p w14:paraId="410CD47E" w14:textId="77777777" w:rsidR="00E51192" w:rsidRPr="001F1876" w:rsidRDefault="00E51192" w:rsidP="00E51192">
                      <w:pPr>
                        <w:pStyle w:val="ListParagraph"/>
                        <w:numPr>
                          <w:ilvl w:val="0"/>
                          <w:numId w:val="15"/>
                        </w:numPr>
                        <w:spacing w:after="0"/>
                        <w:rPr>
                          <w:rFonts w:ascii="Arial" w:hAnsi="Arial" w:cs="Arial"/>
                          <w:sz w:val="24"/>
                          <w:szCs w:val="24"/>
                        </w:rPr>
                      </w:pPr>
                      <w:r w:rsidRPr="001F1876">
                        <w:rPr>
                          <w:rFonts w:ascii="Arial" w:hAnsi="Arial" w:cs="Arial"/>
                          <w:sz w:val="24"/>
                          <w:szCs w:val="24"/>
                        </w:rPr>
                        <w:t>Name, Access Reference Number, Date of birth, and Post Code</w:t>
                      </w:r>
                    </w:p>
                    <w:p w14:paraId="621FA3E9" w14:textId="77777777" w:rsidR="00E51192" w:rsidRDefault="00E51192" w:rsidP="004146B5">
                      <w:pPr>
                        <w:spacing w:after="0"/>
                        <w:rPr>
                          <w:rFonts w:ascii="Arial" w:hAnsi="Arial" w:cs="Arial"/>
                          <w:sz w:val="24"/>
                          <w:szCs w:val="24"/>
                        </w:rPr>
                      </w:pPr>
                    </w:p>
                    <w:p w14:paraId="67921B25" w14:textId="77777777" w:rsidR="00E51192" w:rsidRDefault="00E51192" w:rsidP="004146B5">
                      <w:pPr>
                        <w:spacing w:after="0"/>
                        <w:rPr>
                          <w:rFonts w:ascii="Arial" w:hAnsi="Arial" w:cs="Arial"/>
                          <w:sz w:val="24"/>
                          <w:szCs w:val="24"/>
                        </w:rPr>
                      </w:pPr>
                    </w:p>
                    <w:p w14:paraId="795441D6" w14:textId="14BEC9EC" w:rsidR="00EA49B2" w:rsidRDefault="00E51192" w:rsidP="004146B5">
                      <w:pPr>
                        <w:spacing w:after="0"/>
                        <w:rPr>
                          <w:rFonts w:ascii="Arial" w:hAnsi="Arial" w:cs="Arial"/>
                          <w:sz w:val="24"/>
                          <w:szCs w:val="24"/>
                        </w:rPr>
                      </w:pPr>
                      <w:r>
                        <w:rPr>
                          <w:rFonts w:ascii="Arial" w:hAnsi="Arial" w:cs="Arial"/>
                          <w:sz w:val="24"/>
                          <w:szCs w:val="24"/>
                        </w:rPr>
                        <w:t>There will then be a discussion between ECL And ECC regarding the</w:t>
                      </w:r>
                      <w:r w:rsidR="00EA49B2">
                        <w:rPr>
                          <w:rFonts w:ascii="Arial" w:hAnsi="Arial" w:cs="Arial"/>
                          <w:sz w:val="24"/>
                          <w:szCs w:val="24"/>
                        </w:rPr>
                        <w:t xml:space="preserve"> </w:t>
                      </w:r>
                      <w:r>
                        <w:rPr>
                          <w:rFonts w:ascii="Arial" w:hAnsi="Arial" w:cs="Arial"/>
                          <w:sz w:val="24"/>
                          <w:szCs w:val="24"/>
                        </w:rPr>
                        <w:t>14 identified adults, in this discussion the below will be shared:</w:t>
                      </w:r>
                    </w:p>
                    <w:p w14:paraId="6A48B814" w14:textId="77777777" w:rsidR="004146B5" w:rsidRPr="004146B5" w:rsidRDefault="004146B5" w:rsidP="004146B5">
                      <w:pPr>
                        <w:spacing w:after="0"/>
                        <w:rPr>
                          <w:rFonts w:ascii="Arial" w:hAnsi="Arial" w:cs="Arial"/>
                          <w:sz w:val="24"/>
                          <w:szCs w:val="24"/>
                        </w:rPr>
                      </w:pPr>
                    </w:p>
                    <w:p w14:paraId="69E22287" w14:textId="2021E907" w:rsidR="004146B5" w:rsidRP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Care package details at start of service e.g. number of visits, days, number of carers, hours of support.</w:t>
                      </w:r>
                    </w:p>
                    <w:p w14:paraId="12090DE2" w14:textId="74D74D5E" w:rsidR="004146B5" w:rsidRP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Assessment information e.g. goals to be achieved during the service and presenting initial need</w:t>
                      </w:r>
                    </w:p>
                    <w:p w14:paraId="33846B81" w14:textId="00AB8812" w:rsidR="004146B5" w:rsidRP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Visit notes which detail any changes to support during the service</w:t>
                      </w:r>
                    </w:p>
                    <w:p w14:paraId="4F8FC76C" w14:textId="02BFF6C7" w:rsidR="004146B5" w:rsidRP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Therapy assessments completed including any equipment which has been ordered or supplied</w:t>
                      </w:r>
                    </w:p>
                    <w:p w14:paraId="2BF84D62" w14:textId="15E42755" w:rsidR="004146B5" w:rsidRDefault="004146B5" w:rsidP="004146B5">
                      <w:pPr>
                        <w:pStyle w:val="ListParagraph"/>
                        <w:numPr>
                          <w:ilvl w:val="0"/>
                          <w:numId w:val="15"/>
                        </w:numPr>
                        <w:spacing w:after="0"/>
                        <w:rPr>
                          <w:rFonts w:ascii="Arial" w:hAnsi="Arial" w:cs="Arial"/>
                          <w:sz w:val="24"/>
                          <w:szCs w:val="24"/>
                        </w:rPr>
                      </w:pPr>
                      <w:r w:rsidRPr="004146B5">
                        <w:rPr>
                          <w:rFonts w:ascii="Arial" w:hAnsi="Arial" w:cs="Arial"/>
                          <w:sz w:val="24"/>
                          <w:szCs w:val="24"/>
                        </w:rPr>
                        <w:t>Reviews completed including care package details through service where changes from initial package details, e.g. number of visits, days, number of carers, hours of support, and where goals may have been met</w:t>
                      </w:r>
                    </w:p>
                    <w:p w14:paraId="386E113E" w14:textId="77777777" w:rsidR="004146B5" w:rsidRDefault="004146B5" w:rsidP="00423DE9">
                      <w:pPr>
                        <w:pStyle w:val="ListParagraph"/>
                        <w:numPr>
                          <w:ilvl w:val="0"/>
                          <w:numId w:val="15"/>
                        </w:numPr>
                        <w:spacing w:after="0"/>
                        <w:rPr>
                          <w:rFonts w:ascii="Arial" w:hAnsi="Arial" w:cs="Arial"/>
                          <w:sz w:val="24"/>
                          <w:szCs w:val="24"/>
                        </w:rPr>
                      </w:pPr>
                      <w:r>
                        <w:rPr>
                          <w:rFonts w:ascii="Arial" w:hAnsi="Arial" w:cs="Arial"/>
                          <w:sz w:val="24"/>
                          <w:szCs w:val="24"/>
                        </w:rPr>
                        <w:t>Date service expected to end</w:t>
                      </w:r>
                    </w:p>
                    <w:p w14:paraId="196AEBDD" w14:textId="551F0C42" w:rsidR="004146B5" w:rsidRDefault="004146B5" w:rsidP="00423DE9">
                      <w:pPr>
                        <w:pStyle w:val="ListParagraph"/>
                        <w:numPr>
                          <w:ilvl w:val="0"/>
                          <w:numId w:val="15"/>
                        </w:numPr>
                        <w:spacing w:after="0"/>
                        <w:rPr>
                          <w:rFonts w:ascii="Arial" w:hAnsi="Arial" w:cs="Arial"/>
                          <w:sz w:val="24"/>
                          <w:szCs w:val="24"/>
                        </w:rPr>
                      </w:pPr>
                      <w:r w:rsidRPr="004146B5">
                        <w:rPr>
                          <w:rFonts w:ascii="Arial" w:hAnsi="Arial" w:cs="Arial"/>
                          <w:sz w:val="24"/>
                          <w:szCs w:val="24"/>
                        </w:rPr>
                        <w:t xml:space="preserve">Date service </w:t>
                      </w:r>
                      <w:r>
                        <w:rPr>
                          <w:rFonts w:ascii="Arial" w:hAnsi="Arial" w:cs="Arial"/>
                          <w:sz w:val="24"/>
                          <w:szCs w:val="24"/>
                        </w:rPr>
                        <w:t xml:space="preserve">actually </w:t>
                      </w:r>
                      <w:proofErr w:type="gramStart"/>
                      <w:r w:rsidRPr="004146B5">
                        <w:rPr>
                          <w:rFonts w:ascii="Arial" w:hAnsi="Arial" w:cs="Arial"/>
                          <w:sz w:val="24"/>
                          <w:szCs w:val="24"/>
                        </w:rPr>
                        <w:t>ended</w:t>
                      </w:r>
                      <w:proofErr w:type="gramEnd"/>
                      <w:r w:rsidRPr="004146B5">
                        <w:rPr>
                          <w:rFonts w:ascii="Arial" w:hAnsi="Arial" w:cs="Arial"/>
                          <w:sz w:val="24"/>
                          <w:szCs w:val="24"/>
                        </w:rPr>
                        <w:t xml:space="preserve"> and care support required at end of service</w:t>
                      </w:r>
                    </w:p>
                    <w:p w14:paraId="5DB2CBD2" w14:textId="77777777" w:rsidR="00EA49B2" w:rsidRPr="001F1876" w:rsidRDefault="00EA49B2" w:rsidP="001F1876">
                      <w:pPr>
                        <w:spacing w:after="0"/>
                        <w:rPr>
                          <w:rFonts w:ascii="Arial" w:hAnsi="Arial" w:cs="Arial"/>
                          <w:sz w:val="24"/>
                          <w:szCs w:val="24"/>
                        </w:rPr>
                      </w:pPr>
                    </w:p>
                    <w:p w14:paraId="791C0E28" w14:textId="3FB95126" w:rsidR="004146B5" w:rsidRDefault="004146B5" w:rsidP="004146B5">
                      <w:pPr>
                        <w:spacing w:after="0"/>
                      </w:pPr>
                    </w:p>
                  </w:txbxContent>
                </v:textbox>
                <w10:anchorlock/>
              </v:shape>
            </w:pict>
          </mc:Fallback>
        </mc:AlternateContent>
      </w:r>
    </w:p>
    <w:p w14:paraId="7BE41EEF" w14:textId="0D8FB3D2" w:rsidR="006C0939" w:rsidRDefault="006C0939" w:rsidP="006C0939"/>
    <w:p w14:paraId="4D56562F" w14:textId="1E7D4835" w:rsidR="006C0939" w:rsidRDefault="006C0939" w:rsidP="006C0939"/>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6B4E04" w:rsidRDefault="001045DA"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1045DA" w:rsidRPr="00D1534C"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w:t>
            </w:r>
            <w:r w:rsidR="00FA79A8" w:rsidRPr="006B4E04">
              <w:rPr>
                <w:rFonts w:ascii="Arial" w:hAnsi="Arial" w:cs="Arial"/>
                <w:szCs w:val="20"/>
              </w:rPr>
              <w:t xml:space="preserve"> – if applicable</w:t>
            </w:r>
            <w:r w:rsidRPr="006B4E04">
              <w:rPr>
                <w:rFonts w:ascii="Arial" w:hAnsi="Arial" w:cs="Arial"/>
                <w:szCs w:val="20"/>
              </w:rPr>
              <w:t>)</w:t>
            </w:r>
          </w:p>
        </w:tc>
        <w:tc>
          <w:tcPr>
            <w:tcW w:w="4823" w:type="dxa"/>
            <w:shd w:val="clear" w:color="auto" w:fill="DBE5F1" w:themeFill="accent1" w:themeFillTint="33"/>
          </w:tcPr>
          <w:p w14:paraId="27B92D49" w14:textId="77777777" w:rsidR="0035055D" w:rsidRDefault="001045DA" w:rsidP="007742F5">
            <w:pPr>
              <w:autoSpaceDE w:val="0"/>
              <w:autoSpaceDN w:val="0"/>
              <w:adjustRightInd w:val="0"/>
              <w:jc w:val="center"/>
              <w:rPr>
                <w:rFonts w:ascii="Arial" w:hAnsi="Arial" w:cs="Arial"/>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w:t>
            </w:r>
          </w:p>
          <w:p w14:paraId="2EB413EB" w14:textId="4E8A38FD" w:rsidR="001045DA" w:rsidRPr="00781BF5"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w:t>
            </w:r>
            <w:proofErr w:type="gramStart"/>
            <w:r w:rsidR="006B4E04" w:rsidRPr="006B4E04">
              <w:rPr>
                <w:rFonts w:ascii="Arial" w:hAnsi="Arial" w:cs="Arial"/>
                <w:szCs w:val="20"/>
              </w:rPr>
              <w:t>if</w:t>
            </w:r>
            <w:proofErr w:type="gramEnd"/>
            <w:r w:rsidR="006B4E04" w:rsidRPr="006B4E04">
              <w:rPr>
                <w:rFonts w:ascii="Arial" w:hAnsi="Arial" w:cs="Arial"/>
                <w:szCs w:val="20"/>
              </w:rPr>
              <w:t xml:space="preserve"> applicable </w:t>
            </w:r>
            <w:r w:rsidRPr="006B4E04">
              <w:rPr>
                <w:rFonts w:ascii="Arial" w:hAnsi="Arial" w:cs="Arial"/>
                <w:szCs w:val="20"/>
              </w:rPr>
              <w:t>e.g. community safety)</w:t>
            </w:r>
          </w:p>
        </w:tc>
      </w:tr>
      <w:tr w:rsidR="001045DA" w:rsidRPr="00D1534C" w14:paraId="500239A2" w14:textId="77777777" w:rsidTr="00301404">
        <w:trPr>
          <w:trHeight w:val="502"/>
        </w:trPr>
        <w:tc>
          <w:tcPr>
            <w:tcW w:w="4106" w:type="dxa"/>
          </w:tcPr>
          <w:p w14:paraId="648CEE8D" w14:textId="231152B9"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5245" w:type="dxa"/>
          </w:tcPr>
          <w:p w14:paraId="0DA8878B" w14:textId="00FA72C3"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p>
        </w:tc>
        <w:tc>
          <w:tcPr>
            <w:tcW w:w="4823" w:type="dxa"/>
          </w:tcPr>
          <w:p w14:paraId="15649DB1" w14:textId="0FF2DFF6"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w:t>
            </w:r>
            <w:r w:rsidR="00547F06">
              <w:rPr>
                <w:rFonts w:ascii="Arial" w:hAnsi="Arial" w:cs="Arial"/>
                <w:sz w:val="24"/>
              </w:rPr>
              <w:t>NOT APPLICABLE</w:t>
            </w:r>
            <w:r w:rsidRPr="004528E9">
              <w:rPr>
                <w:rFonts w:ascii="Arial" w:hAnsi="Arial" w:cs="Arial"/>
                <w:sz w:val="24"/>
              </w:rPr>
              <w:t xml:space="preserve"> </w:t>
            </w:r>
          </w:p>
        </w:tc>
      </w:tr>
      <w:tr w:rsidR="001045DA" w:rsidRPr="00D1534C" w14:paraId="042BEFE6" w14:textId="77777777" w:rsidTr="00301404">
        <w:trPr>
          <w:trHeight w:val="178"/>
        </w:trPr>
        <w:tc>
          <w:tcPr>
            <w:tcW w:w="4106" w:type="dxa"/>
          </w:tcPr>
          <w:p w14:paraId="0069EDBF" w14:textId="1D280919" w:rsidR="001045DA" w:rsidRPr="00F76975" w:rsidRDefault="00D81C0A"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4146B5">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0D66203E" w:rsidR="001045DA" w:rsidRPr="00EC0753" w:rsidRDefault="004146B5"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13948" w:type="dxa"/>
        <w:tblLook w:val="04A0" w:firstRow="1" w:lastRow="0" w:firstColumn="1" w:lastColumn="0" w:noHBand="0" w:noVBand="1"/>
      </w:tblPr>
      <w:tblGrid>
        <w:gridCol w:w="13948"/>
      </w:tblGrid>
      <w:tr w:rsidR="004146B5" w14:paraId="396098E0" w14:textId="77777777" w:rsidTr="004146B5">
        <w:tc>
          <w:tcPr>
            <w:tcW w:w="13948" w:type="dxa"/>
          </w:tcPr>
          <w:p w14:paraId="6741E500" w14:textId="374DB61F" w:rsidR="004146B5" w:rsidRDefault="004146B5" w:rsidP="004146B5">
            <w:r>
              <w:rPr>
                <w:rFonts w:ascii="Arial" w:hAnsi="Arial" w:cs="Arial"/>
                <w:sz w:val="24"/>
                <w:szCs w:val="24"/>
              </w:rPr>
              <w:t xml:space="preserve">Care Act 2014 – </w:t>
            </w:r>
            <w:r w:rsidRPr="00ED15A5">
              <w:rPr>
                <w:rFonts w:ascii="Arial" w:hAnsi="Arial" w:cs="Arial"/>
                <w:b w:val="0"/>
                <w:bCs/>
                <w:sz w:val="24"/>
                <w:szCs w:val="24"/>
              </w:rPr>
              <w:t>Local Authorities have a duty to prevent, reduce or delay needs for care and support (Care Act 2014 s2) for all adults including carers; this means early intervention to prevent deterioration and reduce dependency on support from others.  Reablement is one of the ways LAs can fulfil this duty.</w:t>
            </w:r>
          </w:p>
        </w:tc>
      </w:tr>
      <w:tr w:rsidR="004146B5" w14:paraId="233C8E28" w14:textId="77777777" w:rsidTr="004146B5">
        <w:tc>
          <w:tcPr>
            <w:tcW w:w="13948" w:type="dxa"/>
          </w:tcPr>
          <w:p w14:paraId="6D45AFF8" w14:textId="3B508CD8" w:rsidR="004146B5" w:rsidRDefault="004146B5" w:rsidP="004146B5">
            <w:r>
              <w:rPr>
                <w:rFonts w:ascii="Arial" w:hAnsi="Arial" w:cs="Arial"/>
                <w:sz w:val="24"/>
                <w:szCs w:val="24"/>
              </w:rPr>
              <w:t xml:space="preserve">The National Audit of Intermediate Care </w:t>
            </w:r>
            <w:r w:rsidRPr="00083053">
              <w:rPr>
                <w:rFonts w:ascii="Arial" w:hAnsi="Arial" w:cs="Arial"/>
                <w:b w:val="0"/>
                <w:bCs/>
                <w:sz w:val="24"/>
                <w:szCs w:val="24"/>
              </w:rPr>
              <w:t xml:space="preserve">defines reablement </w:t>
            </w:r>
            <w:proofErr w:type="gramStart"/>
            <w:r w:rsidRPr="00083053">
              <w:rPr>
                <w:rFonts w:ascii="Arial" w:hAnsi="Arial" w:cs="Arial"/>
                <w:b w:val="0"/>
                <w:bCs/>
                <w:sz w:val="24"/>
                <w:szCs w:val="24"/>
              </w:rPr>
              <w:t>as</w:t>
            </w:r>
            <w:r>
              <w:rPr>
                <w:rFonts w:ascii="Arial" w:hAnsi="Arial" w:cs="Arial"/>
                <w:sz w:val="24"/>
                <w:szCs w:val="24"/>
              </w:rPr>
              <w:t xml:space="preserve"> </w:t>
            </w:r>
            <w:r w:rsidRPr="00083053">
              <w:rPr>
                <w:rFonts w:ascii="Arial" w:hAnsi="Arial" w:cs="Arial"/>
                <w:b w:val="0"/>
                <w:bCs/>
                <w:sz w:val="24"/>
                <w:szCs w:val="24"/>
              </w:rPr>
              <w:t>”services</w:t>
            </w:r>
            <w:proofErr w:type="gramEnd"/>
            <w:r w:rsidRPr="00083053">
              <w:rPr>
                <w:rFonts w:ascii="Arial" w:hAnsi="Arial" w:cs="Arial"/>
                <w:b w:val="0"/>
                <w:bCs/>
                <w:sz w:val="24"/>
                <w:szCs w:val="24"/>
              </w:rPr>
              <w:t xml:space="preserve"> that help people live independently, provided in the person’s own home by a team of mainly social care professionals.”</w:t>
            </w:r>
          </w:p>
        </w:tc>
      </w:tr>
    </w:tbl>
    <w:p w14:paraId="0EEACBB8" w14:textId="03675C34" w:rsidR="003D2D74" w:rsidRDefault="003D2D74" w:rsidP="004209F2"/>
    <w:p w14:paraId="2F48F801" w14:textId="1D5F1249" w:rsidR="002A04E6" w:rsidRDefault="002A04E6" w:rsidP="004209F2"/>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1"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43" w:type="pct"/>
              </w:tcPr>
              <w:p w14:paraId="7DA0562A" w14:textId="10C94EBC" w:rsidR="004C16B2" w:rsidRPr="006619ED" w:rsidRDefault="004146B5"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12D3A7F4" w14:textId="77777777" w:rsidR="004C16B2" w:rsidRDefault="004146B5" w:rsidP="00BB0EDF">
            <w:pPr>
              <w:autoSpaceDE w:val="0"/>
              <w:autoSpaceDN w:val="0"/>
              <w:adjustRightInd w:val="0"/>
              <w:rPr>
                <w:rFonts w:ascii="Arial" w:hAnsi="Arial" w:cs="Arial"/>
              </w:rPr>
            </w:pPr>
            <w:r>
              <w:rPr>
                <w:rFonts w:ascii="Arial" w:hAnsi="Arial" w:cs="Arial"/>
              </w:rPr>
              <w:t>Essex County Council</w:t>
            </w:r>
          </w:p>
          <w:p w14:paraId="0B168891" w14:textId="559C0B2A" w:rsidR="004146B5" w:rsidRDefault="004146B5" w:rsidP="00BB0EDF">
            <w:pPr>
              <w:autoSpaceDE w:val="0"/>
              <w:autoSpaceDN w:val="0"/>
              <w:adjustRightInd w:val="0"/>
              <w:rPr>
                <w:rFonts w:ascii="Arial" w:hAnsi="Arial" w:cs="Arial"/>
              </w:rPr>
            </w:pPr>
            <w:r>
              <w:rPr>
                <w:rFonts w:ascii="Arial" w:hAnsi="Arial" w:cs="Arial"/>
              </w:rPr>
              <w:t>ECL</w:t>
            </w:r>
          </w:p>
        </w:tc>
      </w:tr>
      <w:tr w:rsidR="004C16B2" w14:paraId="0D0A364E" w14:textId="77777777" w:rsidTr="004C16B2">
        <w:tc>
          <w:tcPr>
            <w:tcW w:w="3668" w:type="pct"/>
            <w:vAlign w:val="center"/>
          </w:tcPr>
          <w:p w14:paraId="43F6C283" w14:textId="4C9B063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 xml:space="preserve">contact point for Individuals </w:t>
            </w:r>
            <w:proofErr w:type="gramStart"/>
            <w:r w:rsidRPr="00D1534C">
              <w:rPr>
                <w:rFonts w:ascii="Arial" w:hAnsi="Arial" w:cs="Arial"/>
                <w:sz w:val="24"/>
              </w:rPr>
              <w:t>is:</w:t>
            </w:r>
            <w:proofErr w:type="gramEnd"/>
            <w:r w:rsidR="004146B5">
              <w:rPr>
                <w:rFonts w:ascii="Arial" w:hAnsi="Arial" w:cs="Arial"/>
                <w:sz w:val="24"/>
              </w:rPr>
              <w:t xml:space="preserve"> Russell White, Connect Programme or Adult Social Care Reablement Service (ECC)</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43" w:type="pct"/>
              </w:tcPr>
              <w:p w14:paraId="6C90F98C" w14:textId="241CF28E" w:rsidR="004C16B2" w:rsidRPr="006619ED" w:rsidRDefault="004146B5"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10C26786" w14:textId="77777777" w:rsidR="004C16B2" w:rsidRDefault="004C16B2" w:rsidP="00BB0EDF">
            <w:pPr>
              <w:autoSpaceDE w:val="0"/>
              <w:autoSpaceDN w:val="0"/>
              <w:adjustRightInd w:val="0"/>
              <w:rPr>
                <w:rFonts w:ascii="Arial" w:hAnsi="Arial" w:cs="Arial"/>
              </w:rPr>
            </w:pP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77777777" w:rsidR="004C16B2" w:rsidRDefault="004C16B2" w:rsidP="00BB0EDF">
            <w:pPr>
              <w:autoSpaceDE w:val="0"/>
              <w:autoSpaceDN w:val="0"/>
              <w:adjustRightInd w:val="0"/>
              <w:rPr>
                <w:rFonts w:ascii="Arial" w:hAnsi="Arial" w:cs="Arial"/>
              </w:rPr>
            </w:pPr>
          </w:p>
        </w:tc>
      </w:tr>
    </w:tbl>
    <w:p w14:paraId="2876CB57" w14:textId="0A5A9996" w:rsidR="00384228" w:rsidRDefault="00384228" w:rsidP="00384228"/>
    <w:p w14:paraId="2DB8FB30" w14:textId="4D5C1D1E" w:rsidR="10857B29" w:rsidRDefault="10857B29" w:rsidP="586AE7A9">
      <w:pPr>
        <w:jc w:val="both"/>
        <w:rPr>
          <w:rFonts w:ascii="Arial" w:eastAsia="Arial" w:hAnsi="Arial" w:cs="Arial"/>
          <w:color w:val="000000" w:themeColor="text1"/>
          <w:sz w:val="24"/>
          <w:szCs w:val="24"/>
        </w:rPr>
      </w:pPr>
      <w:r w:rsidRPr="586AE7A9">
        <w:rPr>
          <w:rFonts w:ascii="Arial" w:eastAsia="Arial" w:hAnsi="Arial" w:cs="Arial"/>
          <w:color w:val="000000" w:themeColor="text1"/>
          <w:sz w:val="24"/>
          <w:szCs w:val="24"/>
        </w:rPr>
        <w:t xml:space="preserve">This Protocol will be reviewed </w:t>
      </w:r>
      <w:r w:rsidR="00547F06">
        <w:rPr>
          <w:rFonts w:ascii="Arial" w:eastAsia="Arial" w:hAnsi="Arial" w:cs="Arial"/>
          <w:color w:val="000000" w:themeColor="text1"/>
          <w:sz w:val="24"/>
          <w:szCs w:val="24"/>
        </w:rPr>
        <w:t>three</w:t>
      </w:r>
      <w:r w:rsidR="00547F06" w:rsidRPr="586AE7A9">
        <w:rPr>
          <w:rFonts w:ascii="Arial" w:eastAsia="Arial" w:hAnsi="Arial" w:cs="Arial"/>
          <w:color w:val="000000" w:themeColor="text1"/>
          <w:sz w:val="24"/>
          <w:szCs w:val="24"/>
        </w:rPr>
        <w:t xml:space="preserve"> </w:t>
      </w:r>
      <w:r w:rsidRPr="586AE7A9">
        <w:rPr>
          <w:rFonts w:ascii="Arial" w:eastAsia="Arial" w:hAnsi="Arial" w:cs="Arial"/>
          <w:color w:val="000000" w:themeColor="text1"/>
          <w:sz w:val="24"/>
          <w:szCs w:val="24"/>
        </w:rPr>
        <w:t>year</w:t>
      </w:r>
      <w:r w:rsidR="00547F06">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14A1865D" w14:textId="77777777" w:rsidR="00DC6473" w:rsidRDefault="007F73CF" w:rsidP="586AE7A9">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Both </w:t>
      </w:r>
      <w:r w:rsidRPr="00DC6473">
        <w:rPr>
          <w:rFonts w:ascii="Arial" w:eastAsia="Arial" w:hAnsi="Arial" w:cs="Arial"/>
          <w:color w:val="000000" w:themeColor="text1"/>
          <w:sz w:val="24"/>
          <w:szCs w:val="24"/>
        </w:rPr>
        <w:t xml:space="preserve">organisations are Sole Data Controllers when information is originally collected and processed from individuals that each organisation </w:t>
      </w:r>
      <w:r>
        <w:rPr>
          <w:rFonts w:ascii="Arial" w:eastAsia="Arial" w:hAnsi="Arial" w:cs="Arial"/>
          <w:color w:val="000000" w:themeColor="text1"/>
          <w:sz w:val="24"/>
          <w:szCs w:val="24"/>
        </w:rPr>
        <w:t>support.</w:t>
      </w:r>
    </w:p>
    <w:p w14:paraId="56D063D1" w14:textId="144ACCDA" w:rsidR="00F769D0" w:rsidRPr="00DC6473" w:rsidRDefault="00F769D0" w:rsidP="586AE7A9">
      <w:pPr>
        <w:jc w:val="both"/>
        <w:rPr>
          <w:rFonts w:ascii="Arial" w:eastAsia="Arial" w:hAnsi="Arial" w:cs="Arial"/>
          <w:color w:val="000000" w:themeColor="text1"/>
          <w:sz w:val="24"/>
          <w:szCs w:val="24"/>
        </w:rPr>
      </w:pPr>
      <w:proofErr w:type="gramStart"/>
      <w:r>
        <w:rPr>
          <w:rFonts w:ascii="Arial" w:eastAsia="Arial" w:hAnsi="Arial" w:cs="Arial"/>
          <w:color w:val="000000" w:themeColor="text1"/>
          <w:sz w:val="24"/>
          <w:szCs w:val="24"/>
        </w:rPr>
        <w:t>For the purpose of</w:t>
      </w:r>
      <w:proofErr w:type="gramEnd"/>
      <w:r>
        <w:rPr>
          <w:rFonts w:ascii="Arial" w:eastAsia="Arial" w:hAnsi="Arial" w:cs="Arial"/>
          <w:color w:val="000000" w:themeColor="text1"/>
          <w:sz w:val="24"/>
          <w:szCs w:val="24"/>
        </w:rPr>
        <w:t xml:space="preserve"> clarity under this ISP the following responsibilities are:</w:t>
      </w:r>
    </w:p>
    <w:p w14:paraId="0A79D62E" w14:textId="091C137F" w:rsidR="007F73CF" w:rsidRPr="00DC6473" w:rsidRDefault="007F73CF" w:rsidP="586AE7A9">
      <w:pPr>
        <w:jc w:val="both"/>
        <w:rPr>
          <w:rFonts w:ascii="Arial" w:eastAsia="Arial" w:hAnsi="Arial" w:cs="Arial"/>
          <w:color w:val="000000" w:themeColor="text1"/>
          <w:sz w:val="24"/>
          <w:szCs w:val="24"/>
        </w:rPr>
      </w:pPr>
      <w:r w:rsidRPr="00DC6473">
        <w:rPr>
          <w:rFonts w:ascii="Arial" w:eastAsia="Arial" w:hAnsi="Arial" w:cs="Arial"/>
          <w:color w:val="000000" w:themeColor="text1"/>
          <w:sz w:val="24"/>
          <w:szCs w:val="24"/>
        </w:rPr>
        <w:t>For Individual Rights Requests: ECL will be responsible for handling these requests for those receiving the Reablement Service.</w:t>
      </w:r>
    </w:p>
    <w:p w14:paraId="3C6A3049" w14:textId="0825C0C6" w:rsidR="00E35D83" w:rsidRPr="00DC6473" w:rsidRDefault="00E35D83" w:rsidP="586AE7A9">
      <w:pPr>
        <w:jc w:val="both"/>
        <w:rPr>
          <w:rFonts w:ascii="Arial" w:eastAsia="Arial" w:hAnsi="Arial" w:cs="Arial"/>
          <w:color w:val="000000" w:themeColor="text1"/>
          <w:sz w:val="24"/>
          <w:szCs w:val="24"/>
        </w:rPr>
      </w:pPr>
      <w:r w:rsidRPr="00DC6473">
        <w:rPr>
          <w:rFonts w:ascii="Arial" w:eastAsia="Arial" w:hAnsi="Arial" w:cs="Arial"/>
          <w:color w:val="000000" w:themeColor="text1"/>
          <w:sz w:val="24"/>
          <w:szCs w:val="24"/>
        </w:rPr>
        <w:t xml:space="preserve">For requests about the Connect Programme:  Essex County Council will be the Single Point of Contact </w:t>
      </w:r>
      <w:r w:rsidR="007F73CF" w:rsidRPr="00DC6473">
        <w:rPr>
          <w:rFonts w:ascii="Arial" w:eastAsia="Arial" w:hAnsi="Arial" w:cs="Arial"/>
          <w:color w:val="000000" w:themeColor="text1"/>
          <w:sz w:val="24"/>
          <w:szCs w:val="24"/>
        </w:rPr>
        <w:t>for information specifically about the Connect Programme</w:t>
      </w:r>
    </w:p>
    <w:p w14:paraId="0CD25BFC" w14:textId="77777777" w:rsidR="007F73CF" w:rsidRDefault="007F73CF" w:rsidP="586AE7A9">
      <w:pPr>
        <w:jc w:val="both"/>
        <w:rPr>
          <w:rFonts w:cs="Calibri"/>
          <w:color w:val="000000" w:themeColor="text1"/>
        </w:rPr>
      </w:pP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2"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4B29D02C" w:rsidR="008A6D2F" w:rsidRPr="006619ED" w:rsidRDefault="00D81C0A"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4146B5">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65361B08" w:rsidR="008A6D2F" w:rsidRPr="006619ED" w:rsidRDefault="00D81C0A"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4146B5">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159DE73B" w:rsidR="008A6D2F" w:rsidRPr="006619ED" w:rsidRDefault="00D81C0A"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4146B5">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D81C0A"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0C1AE544" w:rsidR="008A6D2F" w:rsidRPr="006619ED" w:rsidRDefault="00D81C0A"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4146B5">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0F76D6DE" w:rsidR="008A6D2F" w:rsidRPr="006619ED" w:rsidRDefault="00D81C0A"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4146B5">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5B1C960D" w:rsidR="008A6D2F" w:rsidRPr="006619ED" w:rsidRDefault="00D81C0A"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4146B5">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49F6A9C8" w:rsidR="008A6D2F" w:rsidRPr="006619ED" w:rsidRDefault="00D81C0A"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304504A0" w:rsidR="008A6D2F" w:rsidRPr="006619ED" w:rsidRDefault="00D81C0A"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4146B5">
                  <w:rPr>
                    <w:rFonts w:ascii="MS Gothic" w:eastAsia="MS Gothic" w:hAnsi="MS Gothic" w:cs="Arial" w:hint="eastAsia"/>
                    <w:color w:val="000000"/>
                    <w:sz w:val="36"/>
                  </w:rPr>
                  <w:t>☒</w:t>
                </w:r>
              </w:sdtContent>
            </w:sdt>
          </w:p>
        </w:tc>
      </w:tr>
    </w:tbl>
    <w:p w14:paraId="3E0D3B68" w14:textId="1CACD8B4" w:rsidR="00B60F60" w:rsidRDefault="00B60F60"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ECC0144" w14:textId="0C68B9CE" w:rsidR="00B530EC" w:rsidRDefault="00FA6907" w:rsidP="00F97118">
      <w:pPr>
        <w:autoSpaceDE w:val="0"/>
        <w:autoSpaceDN w:val="0"/>
        <w:adjustRightInd w:val="0"/>
        <w:contextualSpacing/>
        <w:jc w:val="both"/>
        <w:rPr>
          <w:rFonts w:ascii="Arial" w:hAnsi="Arial" w:cs="Arial"/>
          <w:i/>
          <w:iCs/>
          <w:sz w:val="24"/>
        </w:rPr>
      </w:pPr>
      <w:r>
        <w:rPr>
          <w:rFonts w:ascii="Arial" w:hAnsi="Arial" w:cs="Arial"/>
          <w:sz w:val="24"/>
        </w:rPr>
        <w:t>The security of the personal data in transit</w:t>
      </w:r>
      <w:r w:rsidR="00634957">
        <w:rPr>
          <w:rFonts w:ascii="Arial" w:hAnsi="Arial" w:cs="Arial"/>
          <w:sz w:val="24"/>
        </w:rPr>
        <w:t xml:space="preserve"> will be assured by:</w:t>
      </w:r>
      <w:r w:rsidR="00187007">
        <w:rPr>
          <w:rFonts w:ascii="Arial" w:hAnsi="Arial" w:cs="Arial"/>
          <w:sz w:val="24"/>
        </w:rPr>
        <w:t xml:space="preserve"> </w:t>
      </w:r>
      <w:r w:rsidR="004146B5" w:rsidRPr="001F1876">
        <w:rPr>
          <w:rFonts w:ascii="Arial" w:hAnsi="Arial" w:cs="Arial"/>
          <w:i/>
          <w:iCs/>
          <w:sz w:val="24"/>
        </w:rPr>
        <w:t>Information will be shared via discussions between ECC and ECL and manually recorded by ECC for the purpose of data matching.</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342DC07D" w14:textId="5A3E3D92" w:rsidR="003978A4" w:rsidRDefault="003978A4" w:rsidP="00F97118">
      <w:pPr>
        <w:autoSpaceDE w:val="0"/>
        <w:autoSpaceDN w:val="0"/>
        <w:adjustRightInd w:val="0"/>
        <w:contextualSpacing/>
        <w:jc w:val="both"/>
        <w:rPr>
          <w:rFonts w:ascii="Arial" w:hAnsi="Arial" w:cs="Arial"/>
          <w:i/>
          <w:sz w:val="24"/>
        </w:rPr>
      </w:pPr>
    </w:p>
    <w:p w14:paraId="643E8A30" w14:textId="352E882E" w:rsidR="003F7369" w:rsidRPr="00211ADC" w:rsidRDefault="000B4BE7" w:rsidP="00211ADC">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4A59D766" w:rsidRPr="15C9276C">
        <w:rPr>
          <w:rStyle w:val="Hyperlink"/>
          <w:b/>
          <w:bCs/>
          <w:color w:val="auto"/>
          <w:sz w:val="24"/>
          <w:szCs w:val="24"/>
        </w:rPr>
        <w:t>(</w:t>
      </w:r>
      <w:r w:rsidR="004146B5">
        <w:rPr>
          <w:rFonts w:ascii="Arial" w:hAnsi="Arial" w:cs="Arial"/>
          <w:b/>
          <w:bCs/>
          <w:sz w:val="24"/>
          <w:szCs w:val="24"/>
        </w:rPr>
        <w:t>not applicable)</w:t>
      </w:r>
      <w:r w:rsidR="73818768" w:rsidRPr="15C9276C">
        <w:rPr>
          <w:rFonts w:ascii="Arial" w:hAnsi="Arial" w:cs="Arial"/>
          <w:b/>
          <w:bCs/>
          <w:sz w:val="24"/>
          <w:szCs w:val="24"/>
        </w:rPr>
        <w:t xml:space="preserve"> </w:t>
      </w: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3169A74A" w14:textId="7F5994CC"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Pr="00990D5C">
        <w:rPr>
          <w:rFonts w:ascii="Arial" w:hAnsi="Arial" w:cs="Arial"/>
          <w:color w:val="000000" w:themeColor="text1"/>
          <w:sz w:val="24"/>
        </w:rPr>
        <w:t xml:space="preserve"> </w:t>
      </w:r>
      <w:r w:rsidR="00EA49B2">
        <w:rPr>
          <w:rFonts w:ascii="Arial" w:hAnsi="Arial" w:cs="Arial"/>
          <w:b/>
          <w:color w:val="000000" w:themeColor="text1"/>
          <w:sz w:val="24"/>
        </w:rPr>
        <w:t>verbally through discussions</w:t>
      </w:r>
    </w:p>
    <w:p w14:paraId="3D438312" w14:textId="2AAE6260"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 xml:space="preserve">The frequency with which the information will be shared is </w:t>
      </w:r>
      <w:r w:rsidR="00EA49B2">
        <w:rPr>
          <w:rFonts w:ascii="Arial" w:hAnsi="Arial" w:cs="Arial"/>
          <w:b/>
          <w:color w:val="000000" w:themeColor="text1"/>
          <w:sz w:val="24"/>
        </w:rPr>
        <w:t xml:space="preserve">One off exercise </w:t>
      </w:r>
    </w:p>
    <w:p w14:paraId="6D6A5019" w14:textId="77777777" w:rsidR="00990D5C" w:rsidRPr="00990D5C" w:rsidRDefault="00990D5C" w:rsidP="00990D5C">
      <w:pPr>
        <w:rPr>
          <w:rFonts w:ascii="Arial" w:hAnsi="Arial" w:cs="Arial"/>
          <w:sz w:val="24"/>
        </w:rPr>
      </w:pPr>
      <w:r w:rsidRPr="00990D5C">
        <w:rPr>
          <w:rFonts w:ascii="Arial" w:hAnsi="Arial" w:cs="Arial"/>
          <w:sz w:val="24"/>
        </w:rPr>
        <w:t>If a shared system is being used by partners:</w:t>
      </w:r>
    </w:p>
    <w:p w14:paraId="228FBB81" w14:textId="7F00D7E9"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What system is being shared?</w:t>
      </w:r>
      <w:r w:rsidRPr="00990D5C">
        <w:rPr>
          <w:rFonts w:ascii="Arial" w:hAnsi="Arial" w:cs="Arial"/>
        </w:rPr>
        <w:t xml:space="preserve">  </w:t>
      </w:r>
      <w:r w:rsidRPr="00990D5C">
        <w:rPr>
          <w:rFonts w:ascii="Arial" w:hAnsi="Arial" w:cs="Arial"/>
          <w:b/>
          <w:sz w:val="24"/>
        </w:rPr>
        <w:t xml:space="preserve"> </w:t>
      </w:r>
      <w:r w:rsidR="00EA49B2">
        <w:rPr>
          <w:rFonts w:ascii="Arial" w:hAnsi="Arial" w:cs="Arial"/>
          <w:b/>
          <w:color w:val="000000" w:themeColor="text1"/>
          <w:sz w:val="24"/>
        </w:rPr>
        <w:t>not applicable</w:t>
      </w:r>
    </w:p>
    <w:p w14:paraId="7F191768" w14:textId="5E67FA15"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Who is the owner of the system?</w:t>
      </w:r>
      <w:r w:rsidRPr="00990D5C">
        <w:rPr>
          <w:rFonts w:ascii="Arial" w:hAnsi="Arial" w:cs="Arial"/>
        </w:rPr>
        <w:t xml:space="preserve"> </w:t>
      </w:r>
      <w:r w:rsidRPr="00990D5C">
        <w:rPr>
          <w:rFonts w:ascii="Arial" w:hAnsi="Arial" w:cs="Arial"/>
          <w:b/>
          <w:sz w:val="24"/>
        </w:rPr>
        <w:t xml:space="preserve"> </w:t>
      </w:r>
      <w:r w:rsidR="00EA49B2">
        <w:rPr>
          <w:rFonts w:ascii="Arial" w:hAnsi="Arial" w:cs="Arial"/>
          <w:b/>
          <w:color w:val="000000" w:themeColor="text1"/>
          <w:sz w:val="24"/>
        </w:rPr>
        <w:t>not applicable</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2E4C3B45"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4146B5">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0121AB40"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1DF32A7F" w14:textId="0D52C3C5" w:rsidR="000E1754" w:rsidRPr="00211ADC" w:rsidRDefault="00E57D61" w:rsidP="00211ADC">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043F97">
        <w:rPr>
          <w:rFonts w:ascii="Arial" w:eastAsia="Times New Roman" w:hAnsi="Arial" w:cs="Arial"/>
          <w:sz w:val="24"/>
        </w:rPr>
        <w:t>has</w:t>
      </w:r>
      <w:r w:rsidR="002D359A">
        <w:rPr>
          <w:rFonts w:ascii="Arial" w:eastAsia="Times New Roman" w:hAnsi="Arial" w:cs="Arial"/>
          <w:sz w:val="24"/>
        </w:rPr>
        <w:t xml:space="preserve"> be</w:t>
      </w:r>
      <w:r w:rsidR="00043F97">
        <w:rPr>
          <w:rFonts w:ascii="Arial" w:eastAsia="Times New Roman" w:hAnsi="Arial" w:cs="Arial"/>
          <w:sz w:val="24"/>
        </w:rPr>
        <w:t>en</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w:t>
      </w:r>
      <w:r w:rsidR="00503D21">
        <w:rPr>
          <w:rFonts w:ascii="Arial" w:eastAsia="Times New Roman" w:hAnsi="Arial" w:cs="Arial"/>
          <w:sz w:val="24"/>
        </w:rPr>
        <w:t>Email approvals</w:t>
      </w:r>
      <w:r w:rsidR="000E1754">
        <w:rPr>
          <w:rFonts w:ascii="Arial" w:eastAsia="Times New Roman" w:hAnsi="Arial" w:cs="Arial"/>
          <w:sz w:val="24"/>
        </w:rPr>
        <w:t xml:space="preserve"> </w:t>
      </w:r>
      <w:r w:rsidR="00043F97">
        <w:rPr>
          <w:rFonts w:ascii="Arial" w:eastAsia="Times New Roman" w:hAnsi="Arial" w:cs="Arial"/>
          <w:sz w:val="24"/>
        </w:rPr>
        <w:t>have been received and will</w:t>
      </w:r>
      <w:r w:rsidR="000E1754">
        <w:rPr>
          <w:rFonts w:ascii="Arial" w:eastAsia="Times New Roman" w:hAnsi="Arial" w:cs="Arial"/>
          <w:sz w:val="24"/>
        </w:rPr>
        <w:t xml:space="preserve"> be retained by the Lead Organisation for the lifetime of the Protocol plus two years.</w:t>
      </w:r>
    </w:p>
    <w:p w14:paraId="314C6081" w14:textId="48FC96F7" w:rsidR="001C12E3" w:rsidRPr="00455703" w:rsidRDefault="001C12E3" w:rsidP="00776851">
      <w:pPr>
        <w:rPr>
          <w:sz w:val="40"/>
          <w:szCs w:val="40"/>
        </w:rPr>
      </w:pPr>
    </w:p>
    <w:sectPr w:rsidR="001C12E3" w:rsidRPr="00455703" w:rsidSect="00211ADC">
      <w:headerReference w:type="default" r:id="rId13"/>
      <w:footerReference w:type="default" r:id="rId14"/>
      <w:pgSz w:w="16838" w:h="11906" w:orient="landscape"/>
      <w:pgMar w:top="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4143" w14:textId="77777777" w:rsidR="00501841" w:rsidRDefault="00501841" w:rsidP="00CF0AF3">
      <w:pPr>
        <w:spacing w:after="0" w:line="240" w:lineRule="auto"/>
      </w:pPr>
      <w:r>
        <w:separator/>
      </w:r>
    </w:p>
  </w:endnote>
  <w:endnote w:type="continuationSeparator" w:id="0">
    <w:p w14:paraId="26CD29AF" w14:textId="77777777" w:rsidR="00501841" w:rsidRDefault="00501841" w:rsidP="00CF0AF3">
      <w:pPr>
        <w:spacing w:after="0" w:line="240" w:lineRule="auto"/>
      </w:pPr>
      <w:r>
        <w:continuationSeparator/>
      </w:r>
    </w:p>
  </w:endnote>
  <w:endnote w:type="continuationNotice" w:id="1">
    <w:p w14:paraId="4A1630B5" w14:textId="77777777" w:rsidR="00501841" w:rsidRDefault="00501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1C852889" w:rsidR="00FE26BB" w:rsidRDefault="00CA4AD6">
    <w:pPr>
      <w:pStyle w:val="Footer"/>
    </w:pPr>
    <w:r>
      <w:t>202</w:t>
    </w:r>
    <w:r w:rsidR="006A458C">
      <w:t>3 – v4.1</w:t>
    </w:r>
    <w:r>
      <w:t xml:space="preserve">                                                                                                                                                                                                                         ©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FD9C" w14:textId="77777777" w:rsidR="00501841" w:rsidRDefault="00501841" w:rsidP="00CF0AF3">
      <w:pPr>
        <w:spacing w:after="0" w:line="240" w:lineRule="auto"/>
      </w:pPr>
      <w:r>
        <w:separator/>
      </w:r>
    </w:p>
  </w:footnote>
  <w:footnote w:type="continuationSeparator" w:id="0">
    <w:p w14:paraId="21CDACCB" w14:textId="77777777" w:rsidR="00501841" w:rsidRDefault="00501841" w:rsidP="00CF0AF3">
      <w:pPr>
        <w:spacing w:after="0" w:line="240" w:lineRule="auto"/>
      </w:pPr>
      <w:r>
        <w:continuationSeparator/>
      </w:r>
    </w:p>
  </w:footnote>
  <w:footnote w:type="continuationNotice" w:id="1">
    <w:p w14:paraId="1AAB9F06" w14:textId="77777777" w:rsidR="00501841" w:rsidRDefault="00501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BDC"/>
    <w:multiLevelType w:val="hybridMultilevel"/>
    <w:tmpl w:val="5022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47ED3"/>
    <w:multiLevelType w:val="hybridMultilevel"/>
    <w:tmpl w:val="7F461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F2B5E"/>
    <w:multiLevelType w:val="hybridMultilevel"/>
    <w:tmpl w:val="BF66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04E3F"/>
    <w:multiLevelType w:val="hybridMultilevel"/>
    <w:tmpl w:val="73A04F94"/>
    <w:lvl w:ilvl="0" w:tplc="0AFA9C0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523FF"/>
    <w:multiLevelType w:val="hybridMultilevel"/>
    <w:tmpl w:val="38CC54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469369770">
    <w:abstractNumId w:val="10"/>
  </w:num>
  <w:num w:numId="2" w16cid:durableId="1918132036">
    <w:abstractNumId w:val="6"/>
  </w:num>
  <w:num w:numId="3" w16cid:durableId="103313077">
    <w:abstractNumId w:val="11"/>
  </w:num>
  <w:num w:numId="4" w16cid:durableId="2114549635">
    <w:abstractNumId w:val="0"/>
  </w:num>
  <w:num w:numId="5" w16cid:durableId="1437869426">
    <w:abstractNumId w:val="9"/>
  </w:num>
  <w:num w:numId="6" w16cid:durableId="163209102">
    <w:abstractNumId w:val="13"/>
  </w:num>
  <w:num w:numId="7" w16cid:durableId="8533887">
    <w:abstractNumId w:val="15"/>
  </w:num>
  <w:num w:numId="8" w16cid:durableId="109010854">
    <w:abstractNumId w:val="1"/>
  </w:num>
  <w:num w:numId="9" w16cid:durableId="1739325914">
    <w:abstractNumId w:val="4"/>
  </w:num>
  <w:num w:numId="10" w16cid:durableId="1754861980">
    <w:abstractNumId w:val="7"/>
  </w:num>
  <w:num w:numId="11" w16cid:durableId="1153719004">
    <w:abstractNumId w:val="2"/>
  </w:num>
  <w:num w:numId="12" w16cid:durableId="982002257">
    <w:abstractNumId w:val="12"/>
  </w:num>
  <w:num w:numId="13" w16cid:durableId="176817753">
    <w:abstractNumId w:val="8"/>
  </w:num>
  <w:num w:numId="14" w16cid:durableId="671877223">
    <w:abstractNumId w:val="14"/>
  </w:num>
  <w:num w:numId="15" w16cid:durableId="2050646323">
    <w:abstractNumId w:val="5"/>
  </w:num>
  <w:num w:numId="16" w16cid:durableId="576135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07E27"/>
    <w:rsid w:val="00020DE5"/>
    <w:rsid w:val="00031837"/>
    <w:rsid w:val="00043F97"/>
    <w:rsid w:val="00061E49"/>
    <w:rsid w:val="00061F39"/>
    <w:rsid w:val="00063483"/>
    <w:rsid w:val="0006569A"/>
    <w:rsid w:val="00072021"/>
    <w:rsid w:val="00084F55"/>
    <w:rsid w:val="000913C4"/>
    <w:rsid w:val="000A0E60"/>
    <w:rsid w:val="000A3423"/>
    <w:rsid w:val="000A4961"/>
    <w:rsid w:val="000B4BE7"/>
    <w:rsid w:val="000C34CC"/>
    <w:rsid w:val="000E1754"/>
    <w:rsid w:val="000E7972"/>
    <w:rsid w:val="00103A63"/>
    <w:rsid w:val="001045DA"/>
    <w:rsid w:val="00116404"/>
    <w:rsid w:val="001224DC"/>
    <w:rsid w:val="001474BC"/>
    <w:rsid w:val="00152DB7"/>
    <w:rsid w:val="001558BD"/>
    <w:rsid w:val="00161696"/>
    <w:rsid w:val="00161B15"/>
    <w:rsid w:val="001631A8"/>
    <w:rsid w:val="00176414"/>
    <w:rsid w:val="001774A4"/>
    <w:rsid w:val="00177DF7"/>
    <w:rsid w:val="001868AA"/>
    <w:rsid w:val="00187007"/>
    <w:rsid w:val="00187726"/>
    <w:rsid w:val="001937F1"/>
    <w:rsid w:val="00196C58"/>
    <w:rsid w:val="00197A75"/>
    <w:rsid w:val="001A08C2"/>
    <w:rsid w:val="001A4FBF"/>
    <w:rsid w:val="001C12E3"/>
    <w:rsid w:val="001C2564"/>
    <w:rsid w:val="001D1390"/>
    <w:rsid w:val="001F1876"/>
    <w:rsid w:val="001F272A"/>
    <w:rsid w:val="00201CA0"/>
    <w:rsid w:val="00201FF7"/>
    <w:rsid w:val="00205049"/>
    <w:rsid w:val="0020563D"/>
    <w:rsid w:val="00211ADC"/>
    <w:rsid w:val="002142A5"/>
    <w:rsid w:val="0023472B"/>
    <w:rsid w:val="00246075"/>
    <w:rsid w:val="00255D08"/>
    <w:rsid w:val="00265083"/>
    <w:rsid w:val="0026626D"/>
    <w:rsid w:val="00281C96"/>
    <w:rsid w:val="0028372D"/>
    <w:rsid w:val="0029464B"/>
    <w:rsid w:val="00297DF8"/>
    <w:rsid w:val="002A04E6"/>
    <w:rsid w:val="002B11E5"/>
    <w:rsid w:val="002B5648"/>
    <w:rsid w:val="002B6F7D"/>
    <w:rsid w:val="002B703D"/>
    <w:rsid w:val="002C3E4D"/>
    <w:rsid w:val="002D26F1"/>
    <w:rsid w:val="002D359A"/>
    <w:rsid w:val="002D3C4D"/>
    <w:rsid w:val="002E7C84"/>
    <w:rsid w:val="002F5E81"/>
    <w:rsid w:val="00300372"/>
    <w:rsid w:val="00301404"/>
    <w:rsid w:val="00303E08"/>
    <w:rsid w:val="00312059"/>
    <w:rsid w:val="00320C26"/>
    <w:rsid w:val="00330050"/>
    <w:rsid w:val="00333A42"/>
    <w:rsid w:val="00346337"/>
    <w:rsid w:val="0035055D"/>
    <w:rsid w:val="003548CA"/>
    <w:rsid w:val="00357D8A"/>
    <w:rsid w:val="00370272"/>
    <w:rsid w:val="003760B7"/>
    <w:rsid w:val="00384228"/>
    <w:rsid w:val="003870A6"/>
    <w:rsid w:val="00390842"/>
    <w:rsid w:val="00395E1C"/>
    <w:rsid w:val="003978A4"/>
    <w:rsid w:val="003A0A0E"/>
    <w:rsid w:val="003B17AA"/>
    <w:rsid w:val="003B680D"/>
    <w:rsid w:val="003C4E8E"/>
    <w:rsid w:val="003C58E4"/>
    <w:rsid w:val="003D133A"/>
    <w:rsid w:val="003D1BCC"/>
    <w:rsid w:val="003D1C7F"/>
    <w:rsid w:val="003D2D74"/>
    <w:rsid w:val="003D3AA8"/>
    <w:rsid w:val="003D4548"/>
    <w:rsid w:val="003E0600"/>
    <w:rsid w:val="003F7369"/>
    <w:rsid w:val="004065A9"/>
    <w:rsid w:val="004146B5"/>
    <w:rsid w:val="004209F2"/>
    <w:rsid w:val="00420C22"/>
    <w:rsid w:val="00423F41"/>
    <w:rsid w:val="0042761F"/>
    <w:rsid w:val="0044006D"/>
    <w:rsid w:val="0044205F"/>
    <w:rsid w:val="004429AC"/>
    <w:rsid w:val="00442A9E"/>
    <w:rsid w:val="004528E9"/>
    <w:rsid w:val="00454630"/>
    <w:rsid w:val="00455703"/>
    <w:rsid w:val="00474962"/>
    <w:rsid w:val="00475430"/>
    <w:rsid w:val="00483784"/>
    <w:rsid w:val="00490195"/>
    <w:rsid w:val="004C16B2"/>
    <w:rsid w:val="004D4F1B"/>
    <w:rsid w:val="004E17A7"/>
    <w:rsid w:val="004E29DE"/>
    <w:rsid w:val="004E6A52"/>
    <w:rsid w:val="004F66DD"/>
    <w:rsid w:val="00501841"/>
    <w:rsid w:val="00503D21"/>
    <w:rsid w:val="0050429B"/>
    <w:rsid w:val="005100CB"/>
    <w:rsid w:val="0051410F"/>
    <w:rsid w:val="005268D0"/>
    <w:rsid w:val="0054279D"/>
    <w:rsid w:val="00542FB8"/>
    <w:rsid w:val="00547141"/>
    <w:rsid w:val="00547F06"/>
    <w:rsid w:val="00557AE1"/>
    <w:rsid w:val="00575033"/>
    <w:rsid w:val="00575A60"/>
    <w:rsid w:val="00580C4D"/>
    <w:rsid w:val="00584EDA"/>
    <w:rsid w:val="005877C2"/>
    <w:rsid w:val="00591085"/>
    <w:rsid w:val="00594131"/>
    <w:rsid w:val="0059561C"/>
    <w:rsid w:val="005B105D"/>
    <w:rsid w:val="005B6618"/>
    <w:rsid w:val="005C0275"/>
    <w:rsid w:val="005D0799"/>
    <w:rsid w:val="005E3B82"/>
    <w:rsid w:val="005F200F"/>
    <w:rsid w:val="006010FD"/>
    <w:rsid w:val="00607EA8"/>
    <w:rsid w:val="00614497"/>
    <w:rsid w:val="00620907"/>
    <w:rsid w:val="00627E53"/>
    <w:rsid w:val="00630E25"/>
    <w:rsid w:val="00634957"/>
    <w:rsid w:val="006468B1"/>
    <w:rsid w:val="006619ED"/>
    <w:rsid w:val="00664755"/>
    <w:rsid w:val="00665017"/>
    <w:rsid w:val="0067347C"/>
    <w:rsid w:val="006752D1"/>
    <w:rsid w:val="006846FE"/>
    <w:rsid w:val="006A17C4"/>
    <w:rsid w:val="006A44AE"/>
    <w:rsid w:val="006A458C"/>
    <w:rsid w:val="006A7356"/>
    <w:rsid w:val="006B4E04"/>
    <w:rsid w:val="006C0939"/>
    <w:rsid w:val="006C636F"/>
    <w:rsid w:val="006C7450"/>
    <w:rsid w:val="006D6A89"/>
    <w:rsid w:val="006F61C8"/>
    <w:rsid w:val="00701D57"/>
    <w:rsid w:val="00706A6B"/>
    <w:rsid w:val="0071108A"/>
    <w:rsid w:val="007133F8"/>
    <w:rsid w:val="00715C35"/>
    <w:rsid w:val="007205D3"/>
    <w:rsid w:val="0072514C"/>
    <w:rsid w:val="0073579A"/>
    <w:rsid w:val="00756D68"/>
    <w:rsid w:val="00772304"/>
    <w:rsid w:val="007737AC"/>
    <w:rsid w:val="007742F5"/>
    <w:rsid w:val="00776851"/>
    <w:rsid w:val="00781BF5"/>
    <w:rsid w:val="007841D5"/>
    <w:rsid w:val="00784845"/>
    <w:rsid w:val="00787E95"/>
    <w:rsid w:val="00795680"/>
    <w:rsid w:val="007D3DE4"/>
    <w:rsid w:val="007E2F6C"/>
    <w:rsid w:val="007F73CF"/>
    <w:rsid w:val="008034CA"/>
    <w:rsid w:val="00804C46"/>
    <w:rsid w:val="00807FC1"/>
    <w:rsid w:val="008139CA"/>
    <w:rsid w:val="0082166D"/>
    <w:rsid w:val="00830182"/>
    <w:rsid w:val="008310F4"/>
    <w:rsid w:val="008335C6"/>
    <w:rsid w:val="00847174"/>
    <w:rsid w:val="00880AA4"/>
    <w:rsid w:val="008869B7"/>
    <w:rsid w:val="00894B77"/>
    <w:rsid w:val="008A0B38"/>
    <w:rsid w:val="008A4131"/>
    <w:rsid w:val="008A6D2F"/>
    <w:rsid w:val="008B1282"/>
    <w:rsid w:val="008B14FE"/>
    <w:rsid w:val="008C5AFD"/>
    <w:rsid w:val="008E41B9"/>
    <w:rsid w:val="008E7C2F"/>
    <w:rsid w:val="009063F3"/>
    <w:rsid w:val="00907F8F"/>
    <w:rsid w:val="00915122"/>
    <w:rsid w:val="00941760"/>
    <w:rsid w:val="0096618D"/>
    <w:rsid w:val="00966A50"/>
    <w:rsid w:val="00967E65"/>
    <w:rsid w:val="0097581C"/>
    <w:rsid w:val="0098055A"/>
    <w:rsid w:val="00990D5C"/>
    <w:rsid w:val="00994006"/>
    <w:rsid w:val="009D11B4"/>
    <w:rsid w:val="009D6B8D"/>
    <w:rsid w:val="00A00995"/>
    <w:rsid w:val="00A20BC6"/>
    <w:rsid w:val="00A31EB8"/>
    <w:rsid w:val="00A34A42"/>
    <w:rsid w:val="00A4020F"/>
    <w:rsid w:val="00A44981"/>
    <w:rsid w:val="00A501FF"/>
    <w:rsid w:val="00A60B80"/>
    <w:rsid w:val="00A82083"/>
    <w:rsid w:val="00A83D1A"/>
    <w:rsid w:val="00A926A7"/>
    <w:rsid w:val="00A97684"/>
    <w:rsid w:val="00AC291B"/>
    <w:rsid w:val="00AC66D0"/>
    <w:rsid w:val="00AD3E58"/>
    <w:rsid w:val="00AE725F"/>
    <w:rsid w:val="00AF4499"/>
    <w:rsid w:val="00B05EFD"/>
    <w:rsid w:val="00B10B95"/>
    <w:rsid w:val="00B2651B"/>
    <w:rsid w:val="00B275A4"/>
    <w:rsid w:val="00B36940"/>
    <w:rsid w:val="00B47C60"/>
    <w:rsid w:val="00B530EC"/>
    <w:rsid w:val="00B563B0"/>
    <w:rsid w:val="00B566DF"/>
    <w:rsid w:val="00B60F60"/>
    <w:rsid w:val="00B6120E"/>
    <w:rsid w:val="00B90BFA"/>
    <w:rsid w:val="00B96532"/>
    <w:rsid w:val="00BA70D1"/>
    <w:rsid w:val="00BB0D2F"/>
    <w:rsid w:val="00BB272C"/>
    <w:rsid w:val="00BB292F"/>
    <w:rsid w:val="00BD2008"/>
    <w:rsid w:val="00BE6A63"/>
    <w:rsid w:val="00BE723F"/>
    <w:rsid w:val="00BF3B8F"/>
    <w:rsid w:val="00C02347"/>
    <w:rsid w:val="00C1150D"/>
    <w:rsid w:val="00C21026"/>
    <w:rsid w:val="00C23ECF"/>
    <w:rsid w:val="00C40747"/>
    <w:rsid w:val="00C46A58"/>
    <w:rsid w:val="00C53F6D"/>
    <w:rsid w:val="00C55A27"/>
    <w:rsid w:val="00C60661"/>
    <w:rsid w:val="00C61162"/>
    <w:rsid w:val="00C66246"/>
    <w:rsid w:val="00C71BA8"/>
    <w:rsid w:val="00C81869"/>
    <w:rsid w:val="00C97FEA"/>
    <w:rsid w:val="00CA2363"/>
    <w:rsid w:val="00CA4AD6"/>
    <w:rsid w:val="00CC1EFE"/>
    <w:rsid w:val="00CC6579"/>
    <w:rsid w:val="00CD1AE6"/>
    <w:rsid w:val="00CE00DB"/>
    <w:rsid w:val="00CE31E0"/>
    <w:rsid w:val="00CF0AF3"/>
    <w:rsid w:val="00CF1298"/>
    <w:rsid w:val="00CF43F1"/>
    <w:rsid w:val="00D066ED"/>
    <w:rsid w:val="00D1534C"/>
    <w:rsid w:val="00D36E41"/>
    <w:rsid w:val="00D511B9"/>
    <w:rsid w:val="00D62DCA"/>
    <w:rsid w:val="00D81C0A"/>
    <w:rsid w:val="00D97A07"/>
    <w:rsid w:val="00DC6473"/>
    <w:rsid w:val="00DC7101"/>
    <w:rsid w:val="00DD037D"/>
    <w:rsid w:val="00DE6587"/>
    <w:rsid w:val="00DE6ABA"/>
    <w:rsid w:val="00DF1BA3"/>
    <w:rsid w:val="00DF36A6"/>
    <w:rsid w:val="00DF50E5"/>
    <w:rsid w:val="00E132AB"/>
    <w:rsid w:val="00E30C5F"/>
    <w:rsid w:val="00E33C00"/>
    <w:rsid w:val="00E35D83"/>
    <w:rsid w:val="00E506C7"/>
    <w:rsid w:val="00E51192"/>
    <w:rsid w:val="00E57D61"/>
    <w:rsid w:val="00E71F96"/>
    <w:rsid w:val="00E96379"/>
    <w:rsid w:val="00EA0CB5"/>
    <w:rsid w:val="00EA49B2"/>
    <w:rsid w:val="00EB10CA"/>
    <w:rsid w:val="00EB1534"/>
    <w:rsid w:val="00EC0753"/>
    <w:rsid w:val="00EE330F"/>
    <w:rsid w:val="00EF3A59"/>
    <w:rsid w:val="00EF6794"/>
    <w:rsid w:val="00EF7930"/>
    <w:rsid w:val="00F0762A"/>
    <w:rsid w:val="00F22ED7"/>
    <w:rsid w:val="00F243F2"/>
    <w:rsid w:val="00F33542"/>
    <w:rsid w:val="00F33592"/>
    <w:rsid w:val="00F54344"/>
    <w:rsid w:val="00F562EA"/>
    <w:rsid w:val="00F76975"/>
    <w:rsid w:val="00F769D0"/>
    <w:rsid w:val="00F80265"/>
    <w:rsid w:val="00F91121"/>
    <w:rsid w:val="00F964AF"/>
    <w:rsid w:val="00F97118"/>
    <w:rsid w:val="00FA6907"/>
    <w:rsid w:val="00FA7085"/>
    <w:rsid w:val="00FA79A8"/>
    <w:rsid w:val="00FB4EC5"/>
    <w:rsid w:val="00FD3DDC"/>
    <w:rsid w:val="00FE1106"/>
    <w:rsid w:val="00FE26BB"/>
    <w:rsid w:val="00FE3791"/>
    <w:rsid w:val="00FE7EFC"/>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5"/>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4146B5"/>
  </w:style>
  <w:style w:type="character" w:customStyle="1" w:styleId="eop">
    <w:name w:val="eop"/>
    <w:basedOn w:val="DefaultParagraphFont"/>
    <w:rsid w:val="004146B5"/>
  </w:style>
  <w:style w:type="paragraph" w:styleId="Revision">
    <w:name w:val="Revision"/>
    <w:hidden/>
    <w:uiPriority w:val="99"/>
    <w:semiHidden/>
    <w:rsid w:val="00EA49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561060220">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718550667">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key-definitions/controllers-and-process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essexcares.org" TargetMode="External"/><Relationship Id="rId4" Type="http://schemas.openxmlformats.org/officeDocument/2006/relationships/settings" Target="settings.xml"/><Relationship Id="rId9" Type="http://schemas.openxmlformats.org/officeDocument/2006/relationships/hyperlink" Target="mailto:dpo@essex.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72258"/>
    <w:rsid w:val="000A64C0"/>
    <w:rsid w:val="001C257D"/>
    <w:rsid w:val="00257415"/>
    <w:rsid w:val="00297650"/>
    <w:rsid w:val="003A0A0E"/>
    <w:rsid w:val="00471CCB"/>
    <w:rsid w:val="0064350A"/>
    <w:rsid w:val="00676956"/>
    <w:rsid w:val="00701167"/>
    <w:rsid w:val="0074371D"/>
    <w:rsid w:val="00837DF2"/>
    <w:rsid w:val="00940BC5"/>
    <w:rsid w:val="00A040F8"/>
    <w:rsid w:val="00A60B80"/>
    <w:rsid w:val="00B217C4"/>
    <w:rsid w:val="00B721BC"/>
    <w:rsid w:val="00BA1CAA"/>
    <w:rsid w:val="00C553B9"/>
    <w:rsid w:val="00C81869"/>
    <w:rsid w:val="00CB3959"/>
    <w:rsid w:val="00CD4491"/>
    <w:rsid w:val="00CE4DA0"/>
    <w:rsid w:val="00CF0B9E"/>
    <w:rsid w:val="00D14DB9"/>
    <w:rsid w:val="00D8171E"/>
    <w:rsid w:val="00DF5CB8"/>
    <w:rsid w:val="00E107E1"/>
    <w:rsid w:val="00E239CA"/>
    <w:rsid w:val="00E72B07"/>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DF2"/>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2108</Words>
  <Characters>12018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2023-03-10T16:03:00Z</dcterms:created>
  <dcterms:modified xsi:type="dcterms:W3CDTF">2023-03-10T16:03:00Z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2023-03-10T16:03:47Z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f5461358-c9ee-4c07-9f5d-fb7ec9281ba1</vt:lpwstr>
  </property>
  <property fmtid="{D5CDD505-2E9C-101B-9397-08002B2CF9AE}" pid="8" name="MSIP_Label_39d8be9e-c8d9-4b9c-bd40-2c27cc7ea2e6_ContentBits">
    <vt:lpwstr>0</vt:lpwstr>
  </property>
</Properties>
</file>